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AFF94" w14:textId="5F4CFF7E" w:rsidR="00EE003A" w:rsidRPr="00B76F15" w:rsidRDefault="00C47AF4" w:rsidP="00B76F15">
      <w:pPr>
        <w:pStyle w:val="Title"/>
        <w:jc w:val="left"/>
        <w:rPr>
          <w:color w:val="5F3451" w:themeColor="accent5"/>
          <w:sz w:val="32"/>
          <w:szCs w:val="32"/>
        </w:rPr>
      </w:pPr>
      <w:r w:rsidRPr="00B76F15">
        <w:rPr>
          <w:color w:val="5F3451" w:themeColor="accent5"/>
          <w:sz w:val="32"/>
          <w:szCs w:val="32"/>
        </w:rPr>
        <w:t xml:space="preserve">Technical Guide: </w:t>
      </w:r>
      <w:r w:rsidR="00374250" w:rsidRPr="00B76F15">
        <w:rPr>
          <w:color w:val="5F3451" w:themeColor="accent5"/>
          <w:sz w:val="32"/>
          <w:szCs w:val="32"/>
        </w:rPr>
        <w:t xml:space="preserve">Navigating </w:t>
      </w:r>
      <w:r w:rsidR="00AB5F56" w:rsidRPr="00B76F15">
        <w:rPr>
          <w:color w:val="5F3451" w:themeColor="accent5"/>
          <w:sz w:val="32"/>
          <w:szCs w:val="32"/>
        </w:rPr>
        <w:t>auditing AI models in the financial services sector</w:t>
      </w:r>
    </w:p>
    <w:p w14:paraId="27F07B12" w14:textId="77777777" w:rsidR="0033402B" w:rsidRDefault="0033402B" w:rsidP="0033402B"/>
    <w:p w14:paraId="15868DE6" w14:textId="19A7FE7E" w:rsidR="00133907" w:rsidRDefault="00B76F15">
      <w:pPr>
        <w:pStyle w:val="TOC1"/>
        <w:tabs>
          <w:tab w:val="left" w:pos="440"/>
          <w:tab w:val="right" w:pos="9622"/>
        </w:tabs>
        <w:rPr>
          <w:rFonts w:asciiTheme="minorHAnsi" w:eastAsiaTheme="minorEastAsia" w:hAnsiTheme="minorHAnsi" w:cstheme="minorBidi"/>
          <w:b w:val="0"/>
          <w:bCs w:val="0"/>
          <w:caps w:val="0"/>
          <w:noProof/>
          <w:color w:val="auto"/>
          <w:kern w:val="2"/>
          <w:lang w:eastAsia="en-ZA"/>
          <w14:ligatures w14:val="standardContextual"/>
        </w:rPr>
      </w:pPr>
      <w:r>
        <w:rPr>
          <w:b w:val="0"/>
          <w:bCs w:val="0"/>
          <w:caps w:val="0"/>
        </w:rPr>
        <w:fldChar w:fldCharType="begin"/>
      </w:r>
      <w:r>
        <w:rPr>
          <w:b w:val="0"/>
          <w:bCs w:val="0"/>
          <w:caps w:val="0"/>
        </w:rPr>
        <w:instrText xml:space="preserve"> TOC \o "1-2" \h \z \u </w:instrText>
      </w:r>
      <w:r>
        <w:rPr>
          <w:b w:val="0"/>
          <w:bCs w:val="0"/>
          <w:caps w:val="0"/>
        </w:rPr>
        <w:fldChar w:fldCharType="separate"/>
      </w:r>
      <w:hyperlink w:anchor="_Toc223951565" w:history="1">
        <w:r w:rsidR="00133907" w:rsidRPr="00F91E35">
          <w:rPr>
            <w:rStyle w:val="Hyperlink"/>
            <w:noProof/>
          </w:rPr>
          <w:t>1</w:t>
        </w:r>
        <w:r w:rsidR="00133907">
          <w:rPr>
            <w:rFonts w:asciiTheme="minorHAnsi" w:eastAsiaTheme="minorEastAsia" w:hAnsiTheme="minorHAnsi" w:cstheme="minorBidi"/>
            <w:b w:val="0"/>
            <w:bCs w:val="0"/>
            <w:caps w:val="0"/>
            <w:noProof/>
            <w:color w:val="auto"/>
            <w:kern w:val="2"/>
            <w:lang w:eastAsia="en-ZA"/>
            <w14:ligatures w14:val="standardContextual"/>
          </w:rPr>
          <w:tab/>
        </w:r>
        <w:r w:rsidR="00133907" w:rsidRPr="00F91E35">
          <w:rPr>
            <w:rStyle w:val="Hyperlink"/>
            <w:noProof/>
          </w:rPr>
          <w:t>Executive Summary</w:t>
        </w:r>
        <w:r w:rsidR="00133907">
          <w:rPr>
            <w:noProof/>
            <w:webHidden/>
          </w:rPr>
          <w:tab/>
        </w:r>
        <w:r w:rsidR="00133907">
          <w:rPr>
            <w:noProof/>
            <w:webHidden/>
          </w:rPr>
          <w:fldChar w:fldCharType="begin"/>
        </w:r>
        <w:r w:rsidR="00133907">
          <w:rPr>
            <w:noProof/>
            <w:webHidden/>
          </w:rPr>
          <w:instrText xml:space="preserve"> PAGEREF _Toc223951565 \h </w:instrText>
        </w:r>
        <w:r w:rsidR="00133907">
          <w:rPr>
            <w:noProof/>
            <w:webHidden/>
          </w:rPr>
        </w:r>
        <w:r w:rsidR="00133907">
          <w:rPr>
            <w:noProof/>
            <w:webHidden/>
          </w:rPr>
          <w:fldChar w:fldCharType="separate"/>
        </w:r>
        <w:r w:rsidR="00133907">
          <w:rPr>
            <w:noProof/>
            <w:webHidden/>
          </w:rPr>
          <w:t>2</w:t>
        </w:r>
        <w:r w:rsidR="00133907">
          <w:rPr>
            <w:noProof/>
            <w:webHidden/>
          </w:rPr>
          <w:fldChar w:fldCharType="end"/>
        </w:r>
      </w:hyperlink>
    </w:p>
    <w:p w14:paraId="65FE79C2" w14:textId="54D783E0" w:rsidR="00133907" w:rsidRDefault="00133907">
      <w:pPr>
        <w:pStyle w:val="TOC1"/>
        <w:tabs>
          <w:tab w:val="left" w:pos="440"/>
          <w:tab w:val="right" w:pos="9622"/>
        </w:tabs>
        <w:rPr>
          <w:rFonts w:asciiTheme="minorHAnsi" w:eastAsiaTheme="minorEastAsia" w:hAnsiTheme="minorHAnsi" w:cstheme="minorBidi"/>
          <w:b w:val="0"/>
          <w:bCs w:val="0"/>
          <w:caps w:val="0"/>
          <w:noProof/>
          <w:color w:val="auto"/>
          <w:kern w:val="2"/>
          <w:lang w:eastAsia="en-ZA"/>
          <w14:ligatures w14:val="standardContextual"/>
        </w:rPr>
      </w:pPr>
      <w:hyperlink w:anchor="_Toc223951566" w:history="1">
        <w:r w:rsidRPr="00F91E35">
          <w:rPr>
            <w:rStyle w:val="Hyperlink"/>
            <w:noProof/>
          </w:rPr>
          <w:t>2</w:t>
        </w:r>
        <w:r>
          <w:rPr>
            <w:rFonts w:asciiTheme="minorHAnsi" w:eastAsiaTheme="minorEastAsia" w:hAnsiTheme="minorHAnsi" w:cstheme="minorBidi"/>
            <w:b w:val="0"/>
            <w:bCs w:val="0"/>
            <w:caps w:val="0"/>
            <w:noProof/>
            <w:color w:val="auto"/>
            <w:kern w:val="2"/>
            <w:lang w:eastAsia="en-ZA"/>
            <w14:ligatures w14:val="standardContextual"/>
          </w:rPr>
          <w:tab/>
        </w:r>
        <w:r w:rsidRPr="00F91E35">
          <w:rPr>
            <w:rStyle w:val="Hyperlink"/>
            <w:noProof/>
          </w:rPr>
          <w:t>Introduction</w:t>
        </w:r>
        <w:r>
          <w:rPr>
            <w:noProof/>
            <w:webHidden/>
          </w:rPr>
          <w:tab/>
        </w:r>
        <w:r>
          <w:rPr>
            <w:noProof/>
            <w:webHidden/>
          </w:rPr>
          <w:fldChar w:fldCharType="begin"/>
        </w:r>
        <w:r>
          <w:rPr>
            <w:noProof/>
            <w:webHidden/>
          </w:rPr>
          <w:instrText xml:space="preserve"> PAGEREF _Toc223951566 \h </w:instrText>
        </w:r>
        <w:r>
          <w:rPr>
            <w:noProof/>
            <w:webHidden/>
          </w:rPr>
        </w:r>
        <w:r>
          <w:rPr>
            <w:noProof/>
            <w:webHidden/>
          </w:rPr>
          <w:fldChar w:fldCharType="separate"/>
        </w:r>
        <w:r>
          <w:rPr>
            <w:noProof/>
            <w:webHidden/>
          </w:rPr>
          <w:t>3</w:t>
        </w:r>
        <w:r>
          <w:rPr>
            <w:noProof/>
            <w:webHidden/>
          </w:rPr>
          <w:fldChar w:fldCharType="end"/>
        </w:r>
      </w:hyperlink>
    </w:p>
    <w:p w14:paraId="6E91F312" w14:textId="56B21347" w:rsidR="00133907" w:rsidRDefault="00133907">
      <w:pPr>
        <w:pStyle w:val="TOC1"/>
        <w:tabs>
          <w:tab w:val="left" w:pos="440"/>
          <w:tab w:val="right" w:pos="9622"/>
        </w:tabs>
        <w:rPr>
          <w:rFonts w:asciiTheme="minorHAnsi" w:eastAsiaTheme="minorEastAsia" w:hAnsiTheme="minorHAnsi" w:cstheme="minorBidi"/>
          <w:b w:val="0"/>
          <w:bCs w:val="0"/>
          <w:caps w:val="0"/>
          <w:noProof/>
          <w:color w:val="auto"/>
          <w:kern w:val="2"/>
          <w:lang w:eastAsia="en-ZA"/>
          <w14:ligatures w14:val="standardContextual"/>
        </w:rPr>
      </w:pPr>
      <w:hyperlink w:anchor="_Toc223951567" w:history="1">
        <w:r w:rsidRPr="00F91E35">
          <w:rPr>
            <w:rStyle w:val="Hyperlink"/>
            <w:noProof/>
          </w:rPr>
          <w:t>3</w:t>
        </w:r>
        <w:r>
          <w:rPr>
            <w:rFonts w:asciiTheme="minorHAnsi" w:eastAsiaTheme="minorEastAsia" w:hAnsiTheme="minorHAnsi" w:cstheme="minorBidi"/>
            <w:b w:val="0"/>
            <w:bCs w:val="0"/>
            <w:caps w:val="0"/>
            <w:noProof/>
            <w:color w:val="auto"/>
            <w:kern w:val="2"/>
            <w:lang w:eastAsia="en-ZA"/>
            <w14:ligatures w14:val="standardContextual"/>
          </w:rPr>
          <w:tab/>
        </w:r>
        <w:r w:rsidRPr="00F91E35">
          <w:rPr>
            <w:rStyle w:val="Hyperlink"/>
            <w:noProof/>
          </w:rPr>
          <w:t>The AI Model Lifecycle</w:t>
        </w:r>
        <w:r>
          <w:rPr>
            <w:noProof/>
            <w:webHidden/>
          </w:rPr>
          <w:tab/>
        </w:r>
        <w:r>
          <w:rPr>
            <w:noProof/>
            <w:webHidden/>
          </w:rPr>
          <w:fldChar w:fldCharType="begin"/>
        </w:r>
        <w:r>
          <w:rPr>
            <w:noProof/>
            <w:webHidden/>
          </w:rPr>
          <w:instrText xml:space="preserve"> PAGEREF _Toc223951567 \h </w:instrText>
        </w:r>
        <w:r>
          <w:rPr>
            <w:noProof/>
            <w:webHidden/>
          </w:rPr>
        </w:r>
        <w:r>
          <w:rPr>
            <w:noProof/>
            <w:webHidden/>
          </w:rPr>
          <w:fldChar w:fldCharType="separate"/>
        </w:r>
        <w:r>
          <w:rPr>
            <w:noProof/>
            <w:webHidden/>
          </w:rPr>
          <w:t>3</w:t>
        </w:r>
        <w:r>
          <w:rPr>
            <w:noProof/>
            <w:webHidden/>
          </w:rPr>
          <w:fldChar w:fldCharType="end"/>
        </w:r>
      </w:hyperlink>
    </w:p>
    <w:p w14:paraId="7026F372" w14:textId="286951A0"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68" w:history="1">
        <w:r w:rsidRPr="00F91E35">
          <w:rPr>
            <w:rStyle w:val="Hyperlink"/>
            <w:noProof/>
          </w:rPr>
          <w:t>3.1</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Ideation and planning</w:t>
        </w:r>
        <w:r>
          <w:rPr>
            <w:noProof/>
            <w:webHidden/>
          </w:rPr>
          <w:tab/>
        </w:r>
        <w:r>
          <w:rPr>
            <w:noProof/>
            <w:webHidden/>
          </w:rPr>
          <w:fldChar w:fldCharType="begin"/>
        </w:r>
        <w:r>
          <w:rPr>
            <w:noProof/>
            <w:webHidden/>
          </w:rPr>
          <w:instrText xml:space="preserve"> PAGEREF _Toc223951568 \h </w:instrText>
        </w:r>
        <w:r>
          <w:rPr>
            <w:noProof/>
            <w:webHidden/>
          </w:rPr>
        </w:r>
        <w:r>
          <w:rPr>
            <w:noProof/>
            <w:webHidden/>
          </w:rPr>
          <w:fldChar w:fldCharType="separate"/>
        </w:r>
        <w:r>
          <w:rPr>
            <w:noProof/>
            <w:webHidden/>
          </w:rPr>
          <w:t>4</w:t>
        </w:r>
        <w:r>
          <w:rPr>
            <w:noProof/>
            <w:webHidden/>
          </w:rPr>
          <w:fldChar w:fldCharType="end"/>
        </w:r>
      </w:hyperlink>
    </w:p>
    <w:p w14:paraId="21564AA3" w14:textId="5756ECF0"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69" w:history="1">
        <w:r w:rsidRPr="00F91E35">
          <w:rPr>
            <w:rStyle w:val="Hyperlink"/>
            <w:noProof/>
          </w:rPr>
          <w:t>3.2</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Data collection and preparation</w:t>
        </w:r>
        <w:r>
          <w:rPr>
            <w:noProof/>
            <w:webHidden/>
          </w:rPr>
          <w:tab/>
        </w:r>
        <w:r>
          <w:rPr>
            <w:noProof/>
            <w:webHidden/>
          </w:rPr>
          <w:fldChar w:fldCharType="begin"/>
        </w:r>
        <w:r>
          <w:rPr>
            <w:noProof/>
            <w:webHidden/>
          </w:rPr>
          <w:instrText xml:space="preserve"> PAGEREF _Toc223951569 \h </w:instrText>
        </w:r>
        <w:r>
          <w:rPr>
            <w:noProof/>
            <w:webHidden/>
          </w:rPr>
        </w:r>
        <w:r>
          <w:rPr>
            <w:noProof/>
            <w:webHidden/>
          </w:rPr>
          <w:fldChar w:fldCharType="separate"/>
        </w:r>
        <w:r>
          <w:rPr>
            <w:noProof/>
            <w:webHidden/>
          </w:rPr>
          <w:t>4</w:t>
        </w:r>
        <w:r>
          <w:rPr>
            <w:noProof/>
            <w:webHidden/>
          </w:rPr>
          <w:fldChar w:fldCharType="end"/>
        </w:r>
      </w:hyperlink>
    </w:p>
    <w:p w14:paraId="067A0A30" w14:textId="11647386"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0" w:history="1">
        <w:r w:rsidRPr="00F91E35">
          <w:rPr>
            <w:rStyle w:val="Hyperlink"/>
            <w:noProof/>
          </w:rPr>
          <w:t>3.3</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Model development and training</w:t>
        </w:r>
        <w:r>
          <w:rPr>
            <w:noProof/>
            <w:webHidden/>
          </w:rPr>
          <w:tab/>
        </w:r>
        <w:r>
          <w:rPr>
            <w:noProof/>
            <w:webHidden/>
          </w:rPr>
          <w:fldChar w:fldCharType="begin"/>
        </w:r>
        <w:r>
          <w:rPr>
            <w:noProof/>
            <w:webHidden/>
          </w:rPr>
          <w:instrText xml:space="preserve"> PAGEREF _Toc223951570 \h </w:instrText>
        </w:r>
        <w:r>
          <w:rPr>
            <w:noProof/>
            <w:webHidden/>
          </w:rPr>
        </w:r>
        <w:r>
          <w:rPr>
            <w:noProof/>
            <w:webHidden/>
          </w:rPr>
          <w:fldChar w:fldCharType="separate"/>
        </w:r>
        <w:r>
          <w:rPr>
            <w:noProof/>
            <w:webHidden/>
          </w:rPr>
          <w:t>4</w:t>
        </w:r>
        <w:r>
          <w:rPr>
            <w:noProof/>
            <w:webHidden/>
          </w:rPr>
          <w:fldChar w:fldCharType="end"/>
        </w:r>
      </w:hyperlink>
    </w:p>
    <w:p w14:paraId="12E5850B" w14:textId="7364ECB3"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1" w:history="1">
        <w:r w:rsidRPr="00F91E35">
          <w:rPr>
            <w:rStyle w:val="Hyperlink"/>
            <w:noProof/>
          </w:rPr>
          <w:t>3.4</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Validation and testing</w:t>
        </w:r>
        <w:r>
          <w:rPr>
            <w:noProof/>
            <w:webHidden/>
          </w:rPr>
          <w:tab/>
        </w:r>
        <w:r>
          <w:rPr>
            <w:noProof/>
            <w:webHidden/>
          </w:rPr>
          <w:fldChar w:fldCharType="begin"/>
        </w:r>
        <w:r>
          <w:rPr>
            <w:noProof/>
            <w:webHidden/>
          </w:rPr>
          <w:instrText xml:space="preserve"> PAGEREF _Toc223951571 \h </w:instrText>
        </w:r>
        <w:r>
          <w:rPr>
            <w:noProof/>
            <w:webHidden/>
          </w:rPr>
        </w:r>
        <w:r>
          <w:rPr>
            <w:noProof/>
            <w:webHidden/>
          </w:rPr>
          <w:fldChar w:fldCharType="separate"/>
        </w:r>
        <w:r>
          <w:rPr>
            <w:noProof/>
            <w:webHidden/>
          </w:rPr>
          <w:t>5</w:t>
        </w:r>
        <w:r>
          <w:rPr>
            <w:noProof/>
            <w:webHidden/>
          </w:rPr>
          <w:fldChar w:fldCharType="end"/>
        </w:r>
      </w:hyperlink>
    </w:p>
    <w:p w14:paraId="0A2DB3EB" w14:textId="0E4DCABE"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2" w:history="1">
        <w:r w:rsidRPr="00F91E35">
          <w:rPr>
            <w:rStyle w:val="Hyperlink"/>
            <w:noProof/>
          </w:rPr>
          <w:t>3.5</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Deployment and release</w:t>
        </w:r>
        <w:r>
          <w:rPr>
            <w:noProof/>
            <w:webHidden/>
          </w:rPr>
          <w:tab/>
        </w:r>
        <w:r>
          <w:rPr>
            <w:noProof/>
            <w:webHidden/>
          </w:rPr>
          <w:fldChar w:fldCharType="begin"/>
        </w:r>
        <w:r>
          <w:rPr>
            <w:noProof/>
            <w:webHidden/>
          </w:rPr>
          <w:instrText xml:space="preserve"> PAGEREF _Toc223951572 \h </w:instrText>
        </w:r>
        <w:r>
          <w:rPr>
            <w:noProof/>
            <w:webHidden/>
          </w:rPr>
        </w:r>
        <w:r>
          <w:rPr>
            <w:noProof/>
            <w:webHidden/>
          </w:rPr>
          <w:fldChar w:fldCharType="separate"/>
        </w:r>
        <w:r>
          <w:rPr>
            <w:noProof/>
            <w:webHidden/>
          </w:rPr>
          <w:t>5</w:t>
        </w:r>
        <w:r>
          <w:rPr>
            <w:noProof/>
            <w:webHidden/>
          </w:rPr>
          <w:fldChar w:fldCharType="end"/>
        </w:r>
      </w:hyperlink>
    </w:p>
    <w:p w14:paraId="165BE556" w14:textId="73E9D7A6"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3" w:history="1">
        <w:r w:rsidRPr="00F91E35">
          <w:rPr>
            <w:rStyle w:val="Hyperlink"/>
            <w:noProof/>
          </w:rPr>
          <w:t>3.6</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Monitoring and maintenance</w:t>
        </w:r>
        <w:r>
          <w:rPr>
            <w:noProof/>
            <w:webHidden/>
          </w:rPr>
          <w:tab/>
        </w:r>
        <w:r>
          <w:rPr>
            <w:noProof/>
            <w:webHidden/>
          </w:rPr>
          <w:fldChar w:fldCharType="begin"/>
        </w:r>
        <w:r>
          <w:rPr>
            <w:noProof/>
            <w:webHidden/>
          </w:rPr>
          <w:instrText xml:space="preserve"> PAGEREF _Toc223951573 \h </w:instrText>
        </w:r>
        <w:r>
          <w:rPr>
            <w:noProof/>
            <w:webHidden/>
          </w:rPr>
        </w:r>
        <w:r>
          <w:rPr>
            <w:noProof/>
            <w:webHidden/>
          </w:rPr>
          <w:fldChar w:fldCharType="separate"/>
        </w:r>
        <w:r>
          <w:rPr>
            <w:noProof/>
            <w:webHidden/>
          </w:rPr>
          <w:t>5</w:t>
        </w:r>
        <w:r>
          <w:rPr>
            <w:noProof/>
            <w:webHidden/>
          </w:rPr>
          <w:fldChar w:fldCharType="end"/>
        </w:r>
      </w:hyperlink>
    </w:p>
    <w:p w14:paraId="5E79D91A" w14:textId="2352A030"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4" w:history="1">
        <w:r w:rsidRPr="00F91E35">
          <w:rPr>
            <w:rStyle w:val="Hyperlink"/>
            <w:noProof/>
          </w:rPr>
          <w:t>3.7</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Retirement and decommissioning</w:t>
        </w:r>
        <w:r>
          <w:rPr>
            <w:noProof/>
            <w:webHidden/>
          </w:rPr>
          <w:tab/>
        </w:r>
        <w:r>
          <w:rPr>
            <w:noProof/>
            <w:webHidden/>
          </w:rPr>
          <w:fldChar w:fldCharType="begin"/>
        </w:r>
        <w:r>
          <w:rPr>
            <w:noProof/>
            <w:webHidden/>
          </w:rPr>
          <w:instrText xml:space="preserve"> PAGEREF _Toc223951574 \h </w:instrText>
        </w:r>
        <w:r>
          <w:rPr>
            <w:noProof/>
            <w:webHidden/>
          </w:rPr>
        </w:r>
        <w:r>
          <w:rPr>
            <w:noProof/>
            <w:webHidden/>
          </w:rPr>
          <w:fldChar w:fldCharType="separate"/>
        </w:r>
        <w:r>
          <w:rPr>
            <w:noProof/>
            <w:webHidden/>
          </w:rPr>
          <w:t>5</w:t>
        </w:r>
        <w:r>
          <w:rPr>
            <w:noProof/>
            <w:webHidden/>
          </w:rPr>
          <w:fldChar w:fldCharType="end"/>
        </w:r>
      </w:hyperlink>
    </w:p>
    <w:p w14:paraId="038A9184" w14:textId="02B14621" w:rsidR="00133907" w:rsidRDefault="00133907">
      <w:pPr>
        <w:pStyle w:val="TOC1"/>
        <w:tabs>
          <w:tab w:val="left" w:pos="440"/>
          <w:tab w:val="right" w:pos="9622"/>
        </w:tabs>
        <w:rPr>
          <w:rFonts w:asciiTheme="minorHAnsi" w:eastAsiaTheme="minorEastAsia" w:hAnsiTheme="minorHAnsi" w:cstheme="minorBidi"/>
          <w:b w:val="0"/>
          <w:bCs w:val="0"/>
          <w:caps w:val="0"/>
          <w:noProof/>
          <w:color w:val="auto"/>
          <w:kern w:val="2"/>
          <w:lang w:eastAsia="en-ZA"/>
          <w14:ligatures w14:val="standardContextual"/>
        </w:rPr>
      </w:pPr>
      <w:hyperlink w:anchor="_Toc223951575" w:history="1">
        <w:r w:rsidRPr="00F91E35">
          <w:rPr>
            <w:rStyle w:val="Hyperlink"/>
            <w:noProof/>
          </w:rPr>
          <w:t>4</w:t>
        </w:r>
        <w:r>
          <w:rPr>
            <w:rFonts w:asciiTheme="minorHAnsi" w:eastAsiaTheme="minorEastAsia" w:hAnsiTheme="minorHAnsi" w:cstheme="minorBidi"/>
            <w:b w:val="0"/>
            <w:bCs w:val="0"/>
            <w:caps w:val="0"/>
            <w:noProof/>
            <w:color w:val="auto"/>
            <w:kern w:val="2"/>
            <w:lang w:eastAsia="en-ZA"/>
            <w14:ligatures w14:val="standardContextual"/>
          </w:rPr>
          <w:tab/>
        </w:r>
        <w:r w:rsidRPr="00F91E35">
          <w:rPr>
            <w:rStyle w:val="Hyperlink"/>
            <w:noProof/>
          </w:rPr>
          <w:t>Risk-based audit approach</w:t>
        </w:r>
        <w:r>
          <w:rPr>
            <w:noProof/>
            <w:webHidden/>
          </w:rPr>
          <w:tab/>
        </w:r>
        <w:r>
          <w:rPr>
            <w:noProof/>
            <w:webHidden/>
          </w:rPr>
          <w:fldChar w:fldCharType="begin"/>
        </w:r>
        <w:r>
          <w:rPr>
            <w:noProof/>
            <w:webHidden/>
          </w:rPr>
          <w:instrText xml:space="preserve"> PAGEREF _Toc223951575 \h </w:instrText>
        </w:r>
        <w:r>
          <w:rPr>
            <w:noProof/>
            <w:webHidden/>
          </w:rPr>
        </w:r>
        <w:r>
          <w:rPr>
            <w:noProof/>
            <w:webHidden/>
          </w:rPr>
          <w:fldChar w:fldCharType="separate"/>
        </w:r>
        <w:r>
          <w:rPr>
            <w:noProof/>
            <w:webHidden/>
          </w:rPr>
          <w:t>5</w:t>
        </w:r>
        <w:r>
          <w:rPr>
            <w:noProof/>
            <w:webHidden/>
          </w:rPr>
          <w:fldChar w:fldCharType="end"/>
        </w:r>
      </w:hyperlink>
    </w:p>
    <w:p w14:paraId="75FD2AF9" w14:textId="48423E20"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6" w:history="1">
        <w:r w:rsidRPr="00F91E35">
          <w:rPr>
            <w:rStyle w:val="Hyperlink"/>
            <w:noProof/>
          </w:rPr>
          <w:t>4.1</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Audit Plan considerations</w:t>
        </w:r>
        <w:r>
          <w:rPr>
            <w:noProof/>
            <w:webHidden/>
          </w:rPr>
          <w:tab/>
        </w:r>
        <w:r>
          <w:rPr>
            <w:noProof/>
            <w:webHidden/>
          </w:rPr>
          <w:fldChar w:fldCharType="begin"/>
        </w:r>
        <w:r>
          <w:rPr>
            <w:noProof/>
            <w:webHidden/>
          </w:rPr>
          <w:instrText xml:space="preserve"> PAGEREF _Toc223951576 \h </w:instrText>
        </w:r>
        <w:r>
          <w:rPr>
            <w:noProof/>
            <w:webHidden/>
          </w:rPr>
        </w:r>
        <w:r>
          <w:rPr>
            <w:noProof/>
            <w:webHidden/>
          </w:rPr>
          <w:fldChar w:fldCharType="separate"/>
        </w:r>
        <w:r>
          <w:rPr>
            <w:noProof/>
            <w:webHidden/>
          </w:rPr>
          <w:t>5</w:t>
        </w:r>
        <w:r>
          <w:rPr>
            <w:noProof/>
            <w:webHidden/>
          </w:rPr>
          <w:fldChar w:fldCharType="end"/>
        </w:r>
      </w:hyperlink>
    </w:p>
    <w:p w14:paraId="0C66913D" w14:textId="779445F5"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7" w:history="1">
        <w:r w:rsidRPr="00F91E35">
          <w:rPr>
            <w:rStyle w:val="Hyperlink"/>
            <w:noProof/>
          </w:rPr>
          <w:t>4.2</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Auditing AI lifecycle management processes</w:t>
        </w:r>
        <w:r>
          <w:rPr>
            <w:noProof/>
            <w:webHidden/>
          </w:rPr>
          <w:tab/>
        </w:r>
        <w:r>
          <w:rPr>
            <w:noProof/>
            <w:webHidden/>
          </w:rPr>
          <w:fldChar w:fldCharType="begin"/>
        </w:r>
        <w:r>
          <w:rPr>
            <w:noProof/>
            <w:webHidden/>
          </w:rPr>
          <w:instrText xml:space="preserve"> PAGEREF _Toc223951577 \h </w:instrText>
        </w:r>
        <w:r>
          <w:rPr>
            <w:noProof/>
            <w:webHidden/>
          </w:rPr>
        </w:r>
        <w:r>
          <w:rPr>
            <w:noProof/>
            <w:webHidden/>
          </w:rPr>
          <w:fldChar w:fldCharType="separate"/>
        </w:r>
        <w:r>
          <w:rPr>
            <w:noProof/>
            <w:webHidden/>
          </w:rPr>
          <w:t>6</w:t>
        </w:r>
        <w:r>
          <w:rPr>
            <w:noProof/>
            <w:webHidden/>
          </w:rPr>
          <w:fldChar w:fldCharType="end"/>
        </w:r>
      </w:hyperlink>
    </w:p>
    <w:p w14:paraId="55DE9186" w14:textId="2F876F02"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8" w:history="1">
        <w:r w:rsidRPr="00F91E35">
          <w:rPr>
            <w:rStyle w:val="Hyperlink"/>
            <w:noProof/>
          </w:rPr>
          <w:t>4.3</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Auditing business processes that contain AI applications or models</w:t>
        </w:r>
        <w:r>
          <w:rPr>
            <w:noProof/>
            <w:webHidden/>
          </w:rPr>
          <w:tab/>
        </w:r>
        <w:r>
          <w:rPr>
            <w:noProof/>
            <w:webHidden/>
          </w:rPr>
          <w:fldChar w:fldCharType="begin"/>
        </w:r>
        <w:r>
          <w:rPr>
            <w:noProof/>
            <w:webHidden/>
          </w:rPr>
          <w:instrText xml:space="preserve"> PAGEREF _Toc223951578 \h </w:instrText>
        </w:r>
        <w:r>
          <w:rPr>
            <w:noProof/>
            <w:webHidden/>
          </w:rPr>
        </w:r>
        <w:r>
          <w:rPr>
            <w:noProof/>
            <w:webHidden/>
          </w:rPr>
          <w:fldChar w:fldCharType="separate"/>
        </w:r>
        <w:r>
          <w:rPr>
            <w:noProof/>
            <w:webHidden/>
          </w:rPr>
          <w:t>9</w:t>
        </w:r>
        <w:r>
          <w:rPr>
            <w:noProof/>
            <w:webHidden/>
          </w:rPr>
          <w:fldChar w:fldCharType="end"/>
        </w:r>
      </w:hyperlink>
    </w:p>
    <w:p w14:paraId="56819CA4" w14:textId="019A2411"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79" w:history="1">
        <w:r w:rsidRPr="00F91E35">
          <w:rPr>
            <w:rStyle w:val="Hyperlink"/>
            <w:noProof/>
          </w:rPr>
          <w:t>4.4</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Management team insights</w:t>
        </w:r>
        <w:r>
          <w:rPr>
            <w:noProof/>
            <w:webHidden/>
          </w:rPr>
          <w:tab/>
        </w:r>
        <w:r>
          <w:rPr>
            <w:noProof/>
            <w:webHidden/>
          </w:rPr>
          <w:fldChar w:fldCharType="begin"/>
        </w:r>
        <w:r>
          <w:rPr>
            <w:noProof/>
            <w:webHidden/>
          </w:rPr>
          <w:instrText xml:space="preserve"> PAGEREF _Toc223951579 \h </w:instrText>
        </w:r>
        <w:r>
          <w:rPr>
            <w:noProof/>
            <w:webHidden/>
          </w:rPr>
        </w:r>
        <w:r>
          <w:rPr>
            <w:noProof/>
            <w:webHidden/>
          </w:rPr>
          <w:fldChar w:fldCharType="separate"/>
        </w:r>
        <w:r>
          <w:rPr>
            <w:noProof/>
            <w:webHidden/>
          </w:rPr>
          <w:t>14</w:t>
        </w:r>
        <w:r>
          <w:rPr>
            <w:noProof/>
            <w:webHidden/>
          </w:rPr>
          <w:fldChar w:fldCharType="end"/>
        </w:r>
      </w:hyperlink>
    </w:p>
    <w:p w14:paraId="45632D0C" w14:textId="1F0E2F0C" w:rsidR="00133907" w:rsidRDefault="00133907">
      <w:pPr>
        <w:pStyle w:val="TOC2"/>
        <w:tabs>
          <w:tab w:val="left" w:pos="660"/>
          <w:tab w:val="right" w:pos="9622"/>
        </w:tabs>
        <w:rPr>
          <w:rFonts w:eastAsiaTheme="minorEastAsia" w:cstheme="minorBidi"/>
          <w:b w:val="0"/>
          <w:bCs w:val="0"/>
          <w:noProof/>
          <w:color w:val="auto"/>
          <w:kern w:val="2"/>
          <w:sz w:val="24"/>
          <w:szCs w:val="24"/>
          <w:lang w:eastAsia="en-ZA"/>
          <w14:ligatures w14:val="standardContextual"/>
        </w:rPr>
      </w:pPr>
      <w:hyperlink w:anchor="_Toc223951580" w:history="1">
        <w:r w:rsidRPr="00F91E35">
          <w:rPr>
            <w:rStyle w:val="Hyperlink"/>
            <w:noProof/>
          </w:rPr>
          <w:t>4.5</w:t>
        </w:r>
        <w:r>
          <w:rPr>
            <w:rFonts w:eastAsiaTheme="minorEastAsia" w:cstheme="minorBidi"/>
            <w:b w:val="0"/>
            <w:bCs w:val="0"/>
            <w:noProof/>
            <w:color w:val="auto"/>
            <w:kern w:val="2"/>
            <w:sz w:val="24"/>
            <w:szCs w:val="24"/>
            <w:lang w:eastAsia="en-ZA"/>
            <w14:ligatures w14:val="standardContextual"/>
          </w:rPr>
          <w:tab/>
        </w:r>
        <w:r w:rsidRPr="00F91E35">
          <w:rPr>
            <w:rStyle w:val="Hyperlink"/>
            <w:noProof/>
          </w:rPr>
          <w:t>Conclusion</w:t>
        </w:r>
        <w:r>
          <w:rPr>
            <w:noProof/>
            <w:webHidden/>
          </w:rPr>
          <w:tab/>
        </w:r>
        <w:r>
          <w:rPr>
            <w:noProof/>
            <w:webHidden/>
          </w:rPr>
          <w:fldChar w:fldCharType="begin"/>
        </w:r>
        <w:r>
          <w:rPr>
            <w:noProof/>
            <w:webHidden/>
          </w:rPr>
          <w:instrText xml:space="preserve"> PAGEREF _Toc223951580 \h </w:instrText>
        </w:r>
        <w:r>
          <w:rPr>
            <w:noProof/>
            <w:webHidden/>
          </w:rPr>
        </w:r>
        <w:r>
          <w:rPr>
            <w:noProof/>
            <w:webHidden/>
          </w:rPr>
          <w:fldChar w:fldCharType="separate"/>
        </w:r>
        <w:r>
          <w:rPr>
            <w:noProof/>
            <w:webHidden/>
          </w:rPr>
          <w:t>15</w:t>
        </w:r>
        <w:r>
          <w:rPr>
            <w:noProof/>
            <w:webHidden/>
          </w:rPr>
          <w:fldChar w:fldCharType="end"/>
        </w:r>
      </w:hyperlink>
    </w:p>
    <w:p w14:paraId="333D88BA" w14:textId="08C40DAA" w:rsidR="00B76F15" w:rsidRPr="0033402B" w:rsidRDefault="00B76F15" w:rsidP="0033402B">
      <w:r>
        <w:rPr>
          <w:rFonts w:asciiTheme="majorHAnsi" w:hAnsiTheme="majorHAnsi" w:cstheme="majorHAnsi"/>
          <w:b/>
          <w:bCs/>
          <w:caps/>
          <w:sz w:val="24"/>
          <w:szCs w:val="24"/>
        </w:rPr>
        <w:fldChar w:fldCharType="end"/>
      </w:r>
    </w:p>
    <w:p w14:paraId="65320C3D" w14:textId="77777777" w:rsidR="006E589F" w:rsidRDefault="006E589F">
      <w:pPr>
        <w:spacing w:line="259" w:lineRule="auto"/>
        <w:jc w:val="left"/>
        <w:rPr>
          <w:rFonts w:asciiTheme="majorHAnsi" w:eastAsiaTheme="majorEastAsia" w:hAnsiTheme="majorHAnsi" w:cstheme="majorBidi"/>
          <w:b/>
          <w:color w:val="5F3451" w:themeColor="accent5"/>
          <w:sz w:val="28"/>
          <w:szCs w:val="32"/>
        </w:rPr>
      </w:pPr>
      <w:bookmarkStart w:id="0" w:name="_Toc215235069"/>
      <w:bookmarkStart w:id="1" w:name="_Hlk215046593"/>
      <w:bookmarkStart w:id="2" w:name="_Toc131592654"/>
      <w:bookmarkStart w:id="3" w:name="_Toc102562528"/>
      <w:r>
        <w:br w:type="page"/>
      </w:r>
    </w:p>
    <w:p w14:paraId="76B14D3C" w14:textId="5ECBB466" w:rsidR="00016271" w:rsidRDefault="00016271" w:rsidP="00C80C9D">
      <w:pPr>
        <w:pStyle w:val="Heading1"/>
      </w:pPr>
      <w:bookmarkStart w:id="4" w:name="_Toc223951565"/>
      <w:r>
        <w:lastRenderedPageBreak/>
        <w:t>Executive Summary</w:t>
      </w:r>
      <w:r w:rsidR="00B16DE9">
        <w:rPr>
          <w:rStyle w:val="FootnoteReference"/>
        </w:rPr>
        <w:footnoteReference w:id="1"/>
      </w:r>
      <w:bookmarkEnd w:id="4"/>
    </w:p>
    <w:p w14:paraId="422422F5" w14:textId="17717938" w:rsidR="000D6F0B" w:rsidRDefault="003144DC" w:rsidP="000D6F0B">
      <w:r>
        <w:t>Artificial Intelligence (AI) is revolutioni</w:t>
      </w:r>
      <w:r w:rsidR="00DE155F">
        <w:t>s</w:t>
      </w:r>
      <w:r>
        <w:t>ing business operations, becoming essential for activities like fraud detection, credit scoring, and customer engagemen</w:t>
      </w:r>
      <w:r w:rsidR="00DE155F">
        <w:t>t</w:t>
      </w:r>
      <w:r w:rsidR="000D6F0B">
        <w:t xml:space="preserve">. These advances bring greater speed and efficiency, but they also create new regulatory, operational, </w:t>
      </w:r>
      <w:r w:rsidR="006B04A1">
        <w:t>and sustainability (e.g., carbon footprint of data centres) challenges, as well as workforce (e.g., erosion of critical thinking skills) and ethical challenges that traditional assurance methods weren’t designed to address</w:t>
      </w:r>
      <w:r w:rsidR="000D6F0B">
        <w:t>.</w:t>
      </w:r>
    </w:p>
    <w:p w14:paraId="7C923ECC" w14:textId="72AC31A1" w:rsidR="00016271" w:rsidRDefault="00C05E98" w:rsidP="000D6F0B">
      <w:r w:rsidRPr="00C05E98">
        <w:t xml:space="preserve">Internal Audit </w:t>
      </w:r>
      <w:r w:rsidR="007E4FE2">
        <w:t xml:space="preserve">needs </w:t>
      </w:r>
      <w:r w:rsidRPr="00C05E98">
        <w:t xml:space="preserve">to understand how </w:t>
      </w:r>
      <w:r w:rsidR="007E4FE2">
        <w:t>AI models</w:t>
      </w:r>
      <w:r w:rsidR="007E4FE2" w:rsidRPr="00C05E98">
        <w:t xml:space="preserve"> </w:t>
      </w:r>
      <w:r w:rsidRPr="00C05E98">
        <w:t xml:space="preserve">are designed, trained, deployed and monitored. </w:t>
      </w:r>
      <w:r w:rsidR="007E4FE2">
        <w:t>They also need to assess the</w:t>
      </w:r>
      <w:r w:rsidRPr="00C05E98">
        <w:t xml:space="preserve"> governance structures, how decisions are escalated, and how incidents are handled. This enables Internal Audit to </w:t>
      </w:r>
      <w:r w:rsidR="007E4FE2">
        <w:t>determine</w:t>
      </w:r>
      <w:r w:rsidR="007E4FE2" w:rsidRPr="00C05E98">
        <w:t xml:space="preserve"> </w:t>
      </w:r>
      <w:r w:rsidRPr="00C05E98">
        <w:t xml:space="preserve">whether </w:t>
      </w:r>
      <w:r w:rsidR="007E4FE2" w:rsidRPr="00C05E98">
        <w:t xml:space="preserve">risks are being managed, </w:t>
      </w:r>
      <w:r w:rsidRPr="00C05E98">
        <w:t>controls are functioning, and the organisation is meeting its regulatory obligations.</w:t>
      </w:r>
      <w:r w:rsidR="007E4FE2">
        <w:t xml:space="preserve">  </w:t>
      </w:r>
      <w:r w:rsidR="006A37E3">
        <w:t xml:space="preserve">In this environment, </w:t>
      </w:r>
      <w:r w:rsidR="000D3B58">
        <w:t xml:space="preserve">assurance </w:t>
      </w:r>
      <w:r w:rsidR="006A37E3">
        <w:t>needs to be</w:t>
      </w:r>
      <w:r w:rsidR="000D3B58">
        <w:t xml:space="preserve"> continuous</w:t>
      </w:r>
      <w:r w:rsidR="00506250">
        <w:t xml:space="preserve"> and Internal Audit needs to engage proactively with auditees to </w:t>
      </w:r>
      <w:r w:rsidR="000D3B58">
        <w:t>empower organisations to harness AI’s potential without compromising integrity</w:t>
      </w:r>
      <w:r w:rsidR="000D3B58" w:rsidRPr="0091512F">
        <w:t>.</w:t>
      </w:r>
      <w:r w:rsidR="000D3B58">
        <w:t xml:space="preserve">   </w:t>
      </w:r>
      <w:r w:rsidR="005248B9">
        <w:t xml:space="preserve">This paper outlines </w:t>
      </w:r>
      <w:r w:rsidR="0063634C">
        <w:t>the following</w:t>
      </w:r>
      <w:r w:rsidR="005248B9">
        <w:t xml:space="preserve"> risk-based </w:t>
      </w:r>
      <w:r w:rsidR="000E736D">
        <w:t xml:space="preserve">internal </w:t>
      </w:r>
      <w:r w:rsidR="005248B9">
        <w:t>audit framework for AI models:</w:t>
      </w:r>
    </w:p>
    <w:p w14:paraId="4EF3F66E" w14:textId="77777777" w:rsidR="000D3B58" w:rsidRDefault="000D3B58" w:rsidP="00742A77">
      <w:pPr>
        <w:tabs>
          <w:tab w:val="left" w:pos="426"/>
        </w:tabs>
        <w:ind w:left="284" w:firstLine="142"/>
      </w:pPr>
      <w:r>
        <w:rPr>
          <w:noProof/>
        </w:rPr>
        <w:drawing>
          <wp:inline distT="0" distB="0" distL="0" distR="0" wp14:anchorId="545FDCD0" wp14:editId="7CA70315">
            <wp:extent cx="5486400" cy="3200400"/>
            <wp:effectExtent l="0" t="0" r="19050" b="19050"/>
            <wp:docPr id="157972369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1E67282" w14:textId="143E8548" w:rsidR="0063634C" w:rsidRDefault="00BE46A2" w:rsidP="000D3B58">
      <w:pPr>
        <w:tabs>
          <w:tab w:val="left" w:pos="426"/>
        </w:tabs>
        <w:ind w:left="284"/>
      </w:pPr>
      <w:r w:rsidRPr="00BE46A2">
        <w:t xml:space="preserve">Implementing this framework allows Internal Audit to position itself as a strategic partner in AI </w:t>
      </w:r>
      <w:r w:rsidR="00B4722F">
        <w:t>model governance</w:t>
      </w:r>
      <w:r w:rsidR="000D3B58">
        <w:t xml:space="preserve">. </w:t>
      </w:r>
    </w:p>
    <w:p w14:paraId="37491B8F" w14:textId="3CBB40CA" w:rsidR="001972C5" w:rsidRPr="00786A5A" w:rsidRDefault="00EA7B11" w:rsidP="00C80C9D">
      <w:pPr>
        <w:pStyle w:val="Heading1"/>
      </w:pPr>
      <w:bookmarkStart w:id="5" w:name="_Toc223951566"/>
      <w:r>
        <w:lastRenderedPageBreak/>
        <w:t>Introduction</w:t>
      </w:r>
      <w:bookmarkEnd w:id="0"/>
      <w:bookmarkEnd w:id="5"/>
    </w:p>
    <w:bookmarkEnd w:id="1"/>
    <w:bookmarkEnd w:id="2"/>
    <w:bookmarkEnd w:id="3"/>
    <w:p w14:paraId="16BA385C" w14:textId="61C089E7" w:rsidR="00A0613C" w:rsidRDefault="004A3916" w:rsidP="00A0613C">
      <w:r w:rsidRPr="004A3916">
        <w:t xml:space="preserve">AI </w:t>
      </w:r>
      <w:r w:rsidR="00825B18">
        <w:t>is fundamentally reshaping</w:t>
      </w:r>
      <w:r w:rsidRPr="004A3916">
        <w:t xml:space="preserve"> today's financial services industry. </w:t>
      </w:r>
      <w:r w:rsidR="00F72075">
        <w:t>The models are</w:t>
      </w:r>
      <w:r w:rsidR="00825B18">
        <w:t xml:space="preserve"> </w:t>
      </w:r>
      <w:r w:rsidR="00745387">
        <w:t>integrated into core operations</w:t>
      </w:r>
      <w:r w:rsidR="00BB191C">
        <w:t>,</w:t>
      </w:r>
      <w:r w:rsidR="00F72075">
        <w:t xml:space="preserve"> </w:t>
      </w:r>
      <w:r>
        <w:t>accelerat</w:t>
      </w:r>
      <w:r w:rsidR="00F034E9">
        <w:t>ing</w:t>
      </w:r>
      <w:r>
        <w:t xml:space="preserve"> decision-making, reduc</w:t>
      </w:r>
      <w:r w:rsidR="00F034E9">
        <w:t>ing</w:t>
      </w:r>
      <w:r w:rsidRPr="004A3916">
        <w:t xml:space="preserve"> costs, and improv</w:t>
      </w:r>
      <w:r w:rsidR="00F034E9">
        <w:t>ing</w:t>
      </w:r>
      <w:r w:rsidRPr="004A3916">
        <w:t xml:space="preserve"> efficiency.</w:t>
      </w:r>
    </w:p>
    <w:p w14:paraId="0110DBDF" w14:textId="15ED8387" w:rsidR="00A0613C" w:rsidRDefault="001E7E23" w:rsidP="00A0613C">
      <w:r>
        <w:t>The</w:t>
      </w:r>
      <w:r w:rsidR="00A0613C">
        <w:t xml:space="preserve"> surge in innovation </w:t>
      </w:r>
      <w:r w:rsidR="003C5934">
        <w:t xml:space="preserve">compounds </w:t>
      </w:r>
      <w:r w:rsidR="002339ED">
        <w:t xml:space="preserve">the speed at which complexity is escalating and </w:t>
      </w:r>
      <w:r w:rsidR="007A6FEF">
        <w:t>is introducing</w:t>
      </w:r>
      <w:r w:rsidR="00A0613C">
        <w:t xml:space="preserve"> new risks that traditional assurance frameworks aren’t equipped to handle</w:t>
      </w:r>
      <w:r w:rsidR="007A6FEF">
        <w:t xml:space="preserve">.  The reason for this is that </w:t>
      </w:r>
      <w:r w:rsidR="00A0613C">
        <w:t>AI relies on probabilistic reasoning, complex and often opaque algorithms, and vast amounts of data</w:t>
      </w:r>
      <w:r w:rsidR="007A6FEF">
        <w:t>.  This can lead to bias and lack of transp</w:t>
      </w:r>
      <w:r w:rsidR="000A6EB1">
        <w:t>arency</w:t>
      </w:r>
      <w:r w:rsidR="00F54E19">
        <w:t xml:space="preserve"> which in turn </w:t>
      </w:r>
      <w:r w:rsidR="008A362A">
        <w:t>create challenges</w:t>
      </w:r>
      <w:r w:rsidR="00A0613C">
        <w:t xml:space="preserve"> in </w:t>
      </w:r>
      <w:r w:rsidR="000A6EB1">
        <w:t xml:space="preserve">governing these environments and </w:t>
      </w:r>
      <w:r w:rsidR="00A0613C">
        <w:t>meeting regulat</w:t>
      </w:r>
      <w:r w:rsidR="0096291A">
        <w:t>ory requirements</w:t>
      </w:r>
      <w:r w:rsidR="00A0613C">
        <w:t xml:space="preserve">. </w:t>
      </w:r>
      <w:r w:rsidR="000A6EB1">
        <w:t xml:space="preserve">This is challenging the Internal Audit mindset </w:t>
      </w:r>
      <w:r w:rsidR="00444743">
        <w:t xml:space="preserve">of retrospective assurance </w:t>
      </w:r>
      <w:r w:rsidR="005C4514">
        <w:t xml:space="preserve">as there is increasing demand for </w:t>
      </w:r>
      <w:r w:rsidR="00627DDC">
        <w:t>real-time</w:t>
      </w:r>
      <w:r w:rsidR="005C4514">
        <w:t xml:space="preserve"> </w:t>
      </w:r>
      <w:r w:rsidR="000D2E05">
        <w:t>assurance over</w:t>
      </w:r>
      <w:r w:rsidR="00A0613C">
        <w:t xml:space="preserve"> adaptive, continuously learning systems.</w:t>
      </w:r>
    </w:p>
    <w:p w14:paraId="063973A8" w14:textId="48B9EEB3" w:rsidR="00BE43FF" w:rsidRDefault="00FA59A4" w:rsidP="00A0613C">
      <w:r>
        <w:t xml:space="preserve">Below </w:t>
      </w:r>
      <w:r w:rsidR="00BF5363">
        <w:t>is</w:t>
      </w:r>
      <w:r w:rsidR="00A0613C">
        <w:t xml:space="preserve"> a </w:t>
      </w:r>
      <w:r w:rsidR="000D2E05" w:rsidRPr="000D2E05">
        <w:t>risk</w:t>
      </w:r>
      <w:r w:rsidR="000D2E05" w:rsidRPr="000D2E05">
        <w:rPr>
          <w:rFonts w:ascii="Cambria Math" w:hAnsi="Cambria Math" w:cs="Cambria Math"/>
        </w:rPr>
        <w:t>‑</w:t>
      </w:r>
      <w:r w:rsidR="000D2E05" w:rsidRPr="000D2E05">
        <w:t>based framework for auditing AI models, beginning with an overview of the AI model lifecycle</w:t>
      </w:r>
      <w:r w:rsidR="00E430BA">
        <w:t>.</w:t>
      </w:r>
    </w:p>
    <w:p w14:paraId="38AEA5AF" w14:textId="4CE13EA8" w:rsidR="00C421D4" w:rsidRDefault="00CE73C9" w:rsidP="00C80C9D">
      <w:pPr>
        <w:pStyle w:val="Heading1"/>
      </w:pPr>
      <w:bookmarkStart w:id="6" w:name="_Toc215232421"/>
      <w:bookmarkStart w:id="7" w:name="_Toc215235070"/>
      <w:bookmarkStart w:id="8" w:name="_Toc223951567"/>
      <w:bookmarkEnd w:id="6"/>
      <w:r w:rsidRPr="00CE73C9">
        <w:t>The AI Model Lifecycle</w:t>
      </w:r>
      <w:bookmarkEnd w:id="7"/>
      <w:r w:rsidR="007106D1">
        <w:rPr>
          <w:rStyle w:val="FootnoteReference"/>
        </w:rPr>
        <w:footnoteReference w:id="2"/>
      </w:r>
      <w:bookmarkEnd w:id="8"/>
    </w:p>
    <w:p w14:paraId="099CB560" w14:textId="5649CF30" w:rsidR="00E33917" w:rsidRDefault="00AD3979" w:rsidP="006C2F78">
      <w:pPr>
        <w:rPr>
          <w:b/>
          <w:iCs/>
          <w:szCs w:val="18"/>
        </w:rPr>
      </w:pPr>
      <w:r w:rsidRPr="00AD3979">
        <w:t>The development of AI models must follow a structured lifecycle</w:t>
      </w:r>
      <w:r w:rsidR="00AB158C">
        <w:t xml:space="preserve"> </w:t>
      </w:r>
      <w:r w:rsidR="00AB158C" w:rsidRPr="00AD3979">
        <w:t>(</w:t>
      </w:r>
      <w:r w:rsidRPr="00AD3979">
        <w:t xml:space="preserve">see Figure 1 below) to </w:t>
      </w:r>
      <w:r w:rsidR="00B47ACD">
        <w:t xml:space="preserve">ensure </w:t>
      </w:r>
      <w:r w:rsidR="006C2F78" w:rsidRPr="006C2F78">
        <w:t>the model’s purpose, design decisions and controls are clear and traceable.</w:t>
      </w:r>
      <w:r w:rsidR="00E33917">
        <w:br w:type="page"/>
      </w:r>
    </w:p>
    <w:p w14:paraId="6FE6072A" w14:textId="76071AD1" w:rsidR="00AD5712" w:rsidRPr="00D0588C" w:rsidRDefault="00E33917" w:rsidP="00E33917">
      <w:pPr>
        <w:pStyle w:val="Caption"/>
        <w:jc w:val="both"/>
        <w:rPr>
          <w:b w:val="0"/>
          <w:bCs/>
        </w:rPr>
      </w:pPr>
      <w:r>
        <w:lastRenderedPageBreak/>
        <w:t xml:space="preserve">Figure </w:t>
      </w:r>
      <w:fldSimple w:instr=" SEQ Figure \* ARABIC ">
        <w:r>
          <w:rPr>
            <w:noProof/>
          </w:rPr>
          <w:t>1</w:t>
        </w:r>
      </w:fldSimple>
      <w:r w:rsidR="006D3D1D" w:rsidRPr="00D0588C">
        <w:rPr>
          <w:bCs/>
        </w:rPr>
        <w:t>: AI model lifecycle</w:t>
      </w:r>
    </w:p>
    <w:p w14:paraId="3B0EE53B" w14:textId="070279B4" w:rsidR="00AD5712" w:rsidRPr="00D93679" w:rsidRDefault="00D0588C" w:rsidP="00D0588C">
      <w:pPr>
        <w:keepNext/>
        <w:keepLines/>
        <w:jc w:val="center"/>
      </w:pPr>
      <w:r>
        <w:rPr>
          <w:noProof/>
        </w:rPr>
        <w:drawing>
          <wp:inline distT="0" distB="0" distL="0" distR="0" wp14:anchorId="6F265FCC" wp14:editId="71EB1A11">
            <wp:extent cx="4238763" cy="3930650"/>
            <wp:effectExtent l="0" t="0" r="0" b="0"/>
            <wp:docPr id="2089339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7305" cy="3938571"/>
                    </a:xfrm>
                    <a:prstGeom prst="rect">
                      <a:avLst/>
                    </a:prstGeom>
                    <a:noFill/>
                  </pic:spPr>
                </pic:pic>
              </a:graphicData>
            </a:graphic>
          </wp:inline>
        </w:drawing>
      </w:r>
    </w:p>
    <w:p w14:paraId="3F98A3E8" w14:textId="77777777" w:rsidR="00163348" w:rsidRDefault="00163348" w:rsidP="00D0588C">
      <w:pPr>
        <w:keepNext/>
        <w:keepLines/>
      </w:pPr>
    </w:p>
    <w:p w14:paraId="7FF4203E" w14:textId="77777777" w:rsidR="006D3D1D" w:rsidRDefault="006D3D1D" w:rsidP="00381299">
      <w:r>
        <w:t>The AI model lifecycle consists of the following stages:</w:t>
      </w:r>
    </w:p>
    <w:p w14:paraId="28444117" w14:textId="305BB972" w:rsidR="006D3D1D" w:rsidRPr="00701FF1" w:rsidRDefault="00AB7C77" w:rsidP="0000780D">
      <w:pPr>
        <w:pStyle w:val="Heading2"/>
        <w:ind w:left="284" w:hanging="426"/>
        <w:rPr>
          <w:b/>
          <w:bCs w:val="0"/>
        </w:rPr>
      </w:pPr>
      <w:bookmarkStart w:id="9" w:name="_Toc215235071"/>
      <w:bookmarkStart w:id="10" w:name="_Toc223951568"/>
      <w:r w:rsidRPr="00701FF1">
        <w:rPr>
          <w:b/>
          <w:bCs w:val="0"/>
        </w:rPr>
        <w:t>Ideat</w:t>
      </w:r>
      <w:bookmarkEnd w:id="9"/>
      <w:bookmarkEnd w:id="10"/>
      <w:r w:rsidR="00C912C2">
        <w:rPr>
          <w:b/>
          <w:bCs w:val="0"/>
        </w:rPr>
        <w:t xml:space="preserve">e and plan </w:t>
      </w:r>
      <w:r w:rsidR="00092EE0">
        <w:rPr>
          <w:b/>
          <w:bCs w:val="0"/>
        </w:rPr>
        <w:t>solution</w:t>
      </w:r>
    </w:p>
    <w:p w14:paraId="43250583" w14:textId="20072C16" w:rsidR="00AB7C77" w:rsidRPr="000F4CA7" w:rsidRDefault="00B745F9" w:rsidP="00C80C9D">
      <w:pPr>
        <w:rPr>
          <w:rFonts w:ascii="Arial" w:hAnsi="Arial" w:cs="Arial"/>
        </w:rPr>
      </w:pPr>
      <w:r w:rsidRPr="00B745F9">
        <w:rPr>
          <w:rFonts w:ascii="Arial" w:hAnsi="Arial" w:cs="Arial"/>
        </w:rPr>
        <w:t>Business managers identify the specific problem or opportunity the model is intended to address (e.g., reducing fraud or expediting loan approvals).</w:t>
      </w:r>
    </w:p>
    <w:p w14:paraId="696E1FBB" w14:textId="2A6E6519" w:rsidR="00AB7C77" w:rsidRPr="00701FF1" w:rsidRDefault="00092EE0" w:rsidP="0000780D">
      <w:pPr>
        <w:pStyle w:val="Heading2"/>
        <w:ind w:left="284" w:hanging="426"/>
        <w:rPr>
          <w:b/>
          <w:bCs w:val="0"/>
        </w:rPr>
      </w:pPr>
      <w:r>
        <w:rPr>
          <w:b/>
          <w:bCs w:val="0"/>
        </w:rPr>
        <w:t>Collect and prepare data</w:t>
      </w:r>
    </w:p>
    <w:p w14:paraId="0BDD73E5" w14:textId="6E8C9542" w:rsidR="00AB7C77" w:rsidRDefault="008B7695" w:rsidP="00381299">
      <w:r w:rsidRPr="008B7695">
        <w:t xml:space="preserve">Data teams identify the </w:t>
      </w:r>
      <w:r w:rsidR="00DB1E3C">
        <w:t>required datasets</w:t>
      </w:r>
      <w:r w:rsidRPr="008B7695">
        <w:t xml:space="preserve"> for the model and confirm that the data can be used for the intended purpose. </w:t>
      </w:r>
      <w:r w:rsidR="00DB1E3C">
        <w:t>The data is</w:t>
      </w:r>
      <w:r w:rsidRPr="008B7695">
        <w:t xml:space="preserve"> source</w:t>
      </w:r>
      <w:r w:rsidR="00DB1E3C">
        <w:t>d</w:t>
      </w:r>
      <w:r w:rsidRPr="008B7695">
        <w:t>, clean</w:t>
      </w:r>
      <w:r w:rsidR="00DB1E3C">
        <w:t>ed</w:t>
      </w:r>
      <w:r w:rsidRPr="008B7695">
        <w:t>, label</w:t>
      </w:r>
      <w:r w:rsidR="00DB1E3C">
        <w:t>led</w:t>
      </w:r>
      <w:r w:rsidRPr="008B7695">
        <w:t xml:space="preserve"> and </w:t>
      </w:r>
      <w:proofErr w:type="spellStart"/>
      <w:r w:rsidRPr="008B7695">
        <w:t>preprocess</w:t>
      </w:r>
      <w:r w:rsidR="00DB1E3C">
        <w:t>ed</w:t>
      </w:r>
      <w:proofErr w:type="spellEnd"/>
      <w:r w:rsidR="00DB1E3C">
        <w:t xml:space="preserve">.  </w:t>
      </w:r>
      <w:r w:rsidRPr="008B7695">
        <w:t xml:space="preserve"> </w:t>
      </w:r>
      <w:r w:rsidR="00DB1E3C">
        <w:t xml:space="preserve">In addition, </w:t>
      </w:r>
      <w:r w:rsidRPr="008B7695">
        <w:t xml:space="preserve"> record data lineage and privacy considerations</w:t>
      </w:r>
      <w:r w:rsidR="00DB1E3C">
        <w:t xml:space="preserve"> are recorded for future reference</w:t>
      </w:r>
      <w:r w:rsidRPr="008B7695">
        <w:t>.</w:t>
      </w:r>
      <w:r w:rsidR="00B65B7F">
        <w:t xml:space="preserve"> </w:t>
      </w:r>
    </w:p>
    <w:p w14:paraId="0A1E790E" w14:textId="50437731" w:rsidR="00AB7C77" w:rsidRPr="00701FF1" w:rsidRDefault="00092EE0" w:rsidP="0000780D">
      <w:pPr>
        <w:pStyle w:val="Heading2"/>
        <w:ind w:left="284" w:hanging="426"/>
        <w:rPr>
          <w:b/>
          <w:bCs w:val="0"/>
        </w:rPr>
      </w:pPr>
      <w:r>
        <w:rPr>
          <w:b/>
          <w:bCs w:val="0"/>
        </w:rPr>
        <w:t xml:space="preserve">Develop and train </w:t>
      </w:r>
    </w:p>
    <w:p w14:paraId="04FA3E37" w14:textId="561DA1F1" w:rsidR="00AB7C77" w:rsidRPr="00D93679" w:rsidRDefault="00081550" w:rsidP="00381299">
      <w:r>
        <w:t>M</w:t>
      </w:r>
      <w:r w:rsidRPr="00081550">
        <w:t>odel developers select the modelling approach, explain why it is appropriate, and train the model using the prepared data. They document key design choices, address potential sources of bias and ensure the model’s behaviour can be interpreted by those who rely on it</w:t>
      </w:r>
      <w:r w:rsidR="00142298" w:rsidRPr="00142298">
        <w:t>.</w:t>
      </w:r>
    </w:p>
    <w:p w14:paraId="109DA35D" w14:textId="1CAA6723" w:rsidR="00AB7C77" w:rsidRPr="00701FF1" w:rsidRDefault="00AB7C77" w:rsidP="0000780D">
      <w:pPr>
        <w:pStyle w:val="Heading2"/>
        <w:ind w:left="284" w:hanging="426"/>
        <w:rPr>
          <w:b/>
          <w:bCs w:val="0"/>
        </w:rPr>
      </w:pPr>
      <w:bookmarkStart w:id="11" w:name="_Toc215235074"/>
      <w:bookmarkStart w:id="12" w:name="_Toc223951571"/>
      <w:r w:rsidRPr="00701FF1">
        <w:rPr>
          <w:b/>
          <w:bCs w:val="0"/>
        </w:rPr>
        <w:lastRenderedPageBreak/>
        <w:t>Validat</w:t>
      </w:r>
      <w:r w:rsidR="00DA1C7D">
        <w:rPr>
          <w:b/>
          <w:bCs w:val="0"/>
        </w:rPr>
        <w:t>e</w:t>
      </w:r>
      <w:r w:rsidRPr="00701FF1">
        <w:rPr>
          <w:b/>
          <w:bCs w:val="0"/>
        </w:rPr>
        <w:t xml:space="preserve"> and test</w:t>
      </w:r>
      <w:bookmarkEnd w:id="11"/>
      <w:bookmarkEnd w:id="12"/>
      <w:r w:rsidR="00DA1C7D">
        <w:rPr>
          <w:b/>
          <w:bCs w:val="0"/>
        </w:rPr>
        <w:t xml:space="preserve"> </w:t>
      </w:r>
    </w:p>
    <w:p w14:paraId="58040FDF" w14:textId="7058AC5F" w:rsidR="00AB7C77" w:rsidRDefault="00DB1E3C" w:rsidP="00381299">
      <w:r>
        <w:t xml:space="preserve">Ensure accuracy and </w:t>
      </w:r>
      <w:r w:rsidR="00BE46A2">
        <w:t>reliability</w:t>
      </w:r>
      <w:r>
        <w:t xml:space="preserve"> </w:t>
      </w:r>
      <w:r w:rsidR="00BE46A2">
        <w:t xml:space="preserve">of the model by testing it on </w:t>
      </w:r>
      <w:r w:rsidR="00E043F6">
        <w:t xml:space="preserve">independent datasets </w:t>
      </w:r>
      <w:r w:rsidR="00AB7C77" w:rsidRPr="00D93679">
        <w:t xml:space="preserve">. </w:t>
      </w:r>
    </w:p>
    <w:p w14:paraId="43CD09AA" w14:textId="31622176" w:rsidR="00AB7C77" w:rsidRPr="00701FF1" w:rsidRDefault="00AB7C77" w:rsidP="0000780D">
      <w:pPr>
        <w:pStyle w:val="Heading2"/>
        <w:ind w:left="284" w:hanging="426"/>
        <w:rPr>
          <w:b/>
          <w:bCs w:val="0"/>
        </w:rPr>
      </w:pPr>
      <w:bookmarkStart w:id="13" w:name="_Toc215235075"/>
      <w:bookmarkStart w:id="14" w:name="_Toc223951572"/>
      <w:r w:rsidRPr="00701FF1">
        <w:rPr>
          <w:b/>
          <w:bCs w:val="0"/>
        </w:rPr>
        <w:t>Deploy and release</w:t>
      </w:r>
      <w:bookmarkEnd w:id="13"/>
      <w:bookmarkEnd w:id="14"/>
    </w:p>
    <w:p w14:paraId="2F0D1F5F" w14:textId="54D803CC" w:rsidR="00AB7C77" w:rsidRDefault="00BE46A2" w:rsidP="00381299">
      <w:r w:rsidRPr="00BE46A2">
        <w:t>Technology and business teams integrate the model into the relevant process. The following is implemented before the model is approved for deployment: access controls, monitoring thresholds, fallback procedures and incident</w:t>
      </w:r>
      <w:r w:rsidRPr="00BE46A2">
        <w:rPr>
          <w:rFonts w:ascii="Cambria Math" w:hAnsi="Cambria Math" w:cs="Cambria Math"/>
        </w:rPr>
        <w:t>‑</w:t>
      </w:r>
      <w:r w:rsidRPr="00BE46A2">
        <w:t>handling steps.</w:t>
      </w:r>
      <w:r w:rsidR="00AB7C77" w:rsidRPr="00D93679">
        <w:t xml:space="preserve"> </w:t>
      </w:r>
    </w:p>
    <w:p w14:paraId="05F87B4D" w14:textId="19FE3417" w:rsidR="00AB7C77" w:rsidRPr="00701FF1" w:rsidRDefault="00096E36" w:rsidP="0000780D">
      <w:pPr>
        <w:pStyle w:val="Heading2"/>
        <w:ind w:left="284" w:hanging="426"/>
        <w:rPr>
          <w:b/>
          <w:bCs w:val="0"/>
        </w:rPr>
      </w:pPr>
      <w:bookmarkStart w:id="15" w:name="_Toc215235076"/>
      <w:bookmarkStart w:id="16" w:name="_Toc223951573"/>
      <w:r w:rsidRPr="00701FF1">
        <w:rPr>
          <w:b/>
          <w:bCs w:val="0"/>
        </w:rPr>
        <w:t>M</w:t>
      </w:r>
      <w:r w:rsidR="00AB7C77" w:rsidRPr="00701FF1">
        <w:rPr>
          <w:b/>
          <w:bCs w:val="0"/>
        </w:rPr>
        <w:t>onitor and maint</w:t>
      </w:r>
      <w:r w:rsidR="00DA1C7D">
        <w:rPr>
          <w:b/>
          <w:bCs w:val="0"/>
        </w:rPr>
        <w:t>ain</w:t>
      </w:r>
      <w:bookmarkEnd w:id="15"/>
      <w:bookmarkEnd w:id="16"/>
    </w:p>
    <w:p w14:paraId="226A0DCE" w14:textId="0205B0CC" w:rsidR="00AB7C77" w:rsidRDefault="00A352C5" w:rsidP="00381299">
      <w:r w:rsidRPr="00A352C5">
        <w:t>Model owners track performance, data drift, operational incidents and regulatory changes. They update or retrain the model when performance deteriorates or when the underlying data or business context changes. All updates follow the same validation and approval steps as the original release</w:t>
      </w:r>
      <w:r w:rsidR="003B44BE">
        <w:t>.</w:t>
      </w:r>
    </w:p>
    <w:p w14:paraId="68C1E1E7" w14:textId="373930DE" w:rsidR="00AB7C77" w:rsidRPr="00701FF1" w:rsidRDefault="00AB7C77" w:rsidP="0000780D">
      <w:pPr>
        <w:pStyle w:val="Heading2"/>
        <w:ind w:left="284" w:hanging="426"/>
        <w:rPr>
          <w:b/>
          <w:bCs w:val="0"/>
        </w:rPr>
      </w:pPr>
      <w:bookmarkStart w:id="17" w:name="_Toc215235077"/>
      <w:bookmarkStart w:id="18" w:name="_Toc223951574"/>
      <w:r w:rsidRPr="00701FF1">
        <w:rPr>
          <w:b/>
          <w:bCs w:val="0"/>
        </w:rPr>
        <w:t>Retire and decommiss</w:t>
      </w:r>
      <w:bookmarkEnd w:id="17"/>
      <w:bookmarkEnd w:id="18"/>
      <w:r w:rsidR="000D2974">
        <w:rPr>
          <w:b/>
          <w:bCs w:val="0"/>
        </w:rPr>
        <w:t>ion</w:t>
      </w:r>
    </w:p>
    <w:p w14:paraId="2DEADA6B" w14:textId="6DB175B5" w:rsidR="00FC19C0" w:rsidRDefault="006525FF" w:rsidP="002F6E1B">
      <w:r w:rsidRPr="006525FF">
        <w:t>When a model is no longer needed or no longer performs adequately, the owner initiates a controlled retirement process. This includes removing the model from production, archiving documentation and ensuring that dependent processes are updated.</w:t>
      </w:r>
    </w:p>
    <w:p w14:paraId="4DC8827E" w14:textId="5C525C31" w:rsidR="006E223B" w:rsidRPr="006E223B" w:rsidRDefault="006E223B" w:rsidP="00381299">
      <w:pPr>
        <w:pStyle w:val="Heading1"/>
      </w:pPr>
      <w:bookmarkStart w:id="19" w:name="_Toc215235078"/>
      <w:bookmarkStart w:id="20" w:name="_Toc223951575"/>
      <w:r>
        <w:t>Risk-based audit approach</w:t>
      </w:r>
      <w:bookmarkEnd w:id="19"/>
      <w:bookmarkEnd w:id="20"/>
    </w:p>
    <w:p w14:paraId="4751AB55" w14:textId="1752BD78" w:rsidR="00163348" w:rsidRPr="00701FF1" w:rsidRDefault="00381299" w:rsidP="0000780D">
      <w:pPr>
        <w:pStyle w:val="Heading2"/>
        <w:ind w:left="284" w:hanging="426"/>
        <w:rPr>
          <w:b/>
          <w:bCs w:val="0"/>
        </w:rPr>
      </w:pPr>
      <w:bookmarkStart w:id="21" w:name="_Toc215235079"/>
      <w:bookmarkStart w:id="22" w:name="_Toc223951576"/>
      <w:r w:rsidRPr="00701FF1">
        <w:rPr>
          <w:b/>
          <w:bCs w:val="0"/>
        </w:rPr>
        <w:t>Audit Plan considerations</w:t>
      </w:r>
      <w:bookmarkEnd w:id="21"/>
      <w:bookmarkEnd w:id="22"/>
    </w:p>
    <w:p w14:paraId="6381A426" w14:textId="18A7BBDB" w:rsidR="004C75FF" w:rsidRPr="00E1501E" w:rsidRDefault="00BE46A2" w:rsidP="00E1501E">
      <w:r>
        <w:t>H</w:t>
      </w:r>
      <w:r w:rsidR="004C75FF" w:rsidRPr="00E1501E">
        <w:t xml:space="preserve">igh-risk AI applications, </w:t>
      </w:r>
      <w:r w:rsidR="00D0588C">
        <w:t>such as</w:t>
      </w:r>
      <w:r w:rsidR="004C75FF" w:rsidRPr="00E1501E">
        <w:t xml:space="preserve"> those influencing credit decisions, anti-money laundering efforts, or fraud detection, </w:t>
      </w:r>
      <w:r>
        <w:t xml:space="preserve">should be prioritised </w:t>
      </w:r>
      <w:r w:rsidR="00C169CB">
        <w:t>based on their risk ratings</w:t>
      </w:r>
      <w:r w:rsidR="004C75FF" w:rsidRPr="00E1501E">
        <w:t>.</w:t>
      </w:r>
    </w:p>
    <w:p w14:paraId="2E1173DB" w14:textId="77777777" w:rsidR="008A3ABA" w:rsidRDefault="00FF708E" w:rsidP="00E1501E">
      <w:r w:rsidRPr="00FF708E">
        <w:t xml:space="preserve">Auditors should assess the risk level of AI models by looking at factors </w:t>
      </w:r>
      <w:r w:rsidR="008A3ABA">
        <w:t>such as:</w:t>
      </w:r>
    </w:p>
    <w:p w14:paraId="3C387537" w14:textId="7765CD07" w:rsidR="008A3ABA" w:rsidRDefault="00D3372F" w:rsidP="008A3ABA">
      <w:pPr>
        <w:pStyle w:val="ListParagraph"/>
      </w:pPr>
      <w:r>
        <w:t>W</w:t>
      </w:r>
      <w:r w:rsidR="00FF708E" w:rsidRPr="00FF708E">
        <w:t>hat the model is used for</w:t>
      </w:r>
      <w:r w:rsidR="00784955">
        <w:t>.</w:t>
      </w:r>
    </w:p>
    <w:p w14:paraId="2B4E61F3" w14:textId="53ECCFD4" w:rsidR="008A3ABA" w:rsidRDefault="00784955" w:rsidP="008A3ABA">
      <w:pPr>
        <w:pStyle w:val="ListParagraph"/>
      </w:pPr>
      <w:r>
        <w:t>H</w:t>
      </w:r>
      <w:r w:rsidR="00FF708E" w:rsidRPr="00FF708E">
        <w:t xml:space="preserve">ow complex </w:t>
      </w:r>
      <w:r w:rsidR="008A3ABA">
        <w:t>the model</w:t>
      </w:r>
      <w:r w:rsidR="00FF708E" w:rsidRPr="00FF708E">
        <w:t xml:space="preserve"> i</w:t>
      </w:r>
      <w:r w:rsidR="008A3ABA">
        <w:t>s</w:t>
      </w:r>
      <w:r>
        <w:t>.</w:t>
      </w:r>
    </w:p>
    <w:p w14:paraId="37D28F1C" w14:textId="5ABE856C" w:rsidR="008A3ABA" w:rsidRDefault="00784955" w:rsidP="008A3ABA">
      <w:pPr>
        <w:pStyle w:val="ListParagraph"/>
      </w:pPr>
      <w:r>
        <w:t>H</w:t>
      </w:r>
      <w:r w:rsidR="00FF708E" w:rsidRPr="00FF708E">
        <w:t xml:space="preserve">ow critical </w:t>
      </w:r>
      <w:r w:rsidR="008A3ABA">
        <w:t>the model</w:t>
      </w:r>
      <w:r w:rsidR="00FF708E" w:rsidRPr="00FF708E">
        <w:t xml:space="preserve"> is to the business</w:t>
      </w:r>
      <w:r>
        <w:t>.</w:t>
      </w:r>
    </w:p>
    <w:p w14:paraId="128CFCBF" w14:textId="08F9FEBC" w:rsidR="00304FE8" w:rsidRDefault="00784955" w:rsidP="008C6D81">
      <w:pPr>
        <w:pStyle w:val="ListParagraph"/>
        <w:spacing w:after="0"/>
      </w:pPr>
      <w:r>
        <w:t>W</w:t>
      </w:r>
      <w:r w:rsidR="00FF708E" w:rsidRPr="00FF708E">
        <w:t xml:space="preserve">hat could happen if </w:t>
      </w:r>
      <w:r w:rsidR="00304FE8">
        <w:t>the model</w:t>
      </w:r>
      <w:r w:rsidR="00FF708E" w:rsidRPr="00FF708E">
        <w:t xml:space="preserve"> fails or is misused</w:t>
      </w:r>
      <w:r>
        <w:t>.</w:t>
      </w:r>
    </w:p>
    <w:p w14:paraId="1C799459" w14:textId="77777777" w:rsidR="008C6D81" w:rsidRDefault="008C6D81" w:rsidP="008C6D81">
      <w:pPr>
        <w:spacing w:after="0"/>
      </w:pPr>
    </w:p>
    <w:p w14:paraId="12572E3A" w14:textId="758C3CCF" w:rsidR="0035153E" w:rsidRDefault="00FF708E" w:rsidP="008C6D81">
      <w:pPr>
        <w:spacing w:after="0"/>
      </w:pPr>
      <w:r w:rsidRPr="00FF708E">
        <w:t xml:space="preserve">Models that support sensitive or high-impact business functions </w:t>
      </w:r>
      <w:r w:rsidR="0035153E" w:rsidRPr="0035153E">
        <w:t>require closer examination and broader audit coverage.</w:t>
      </w:r>
    </w:p>
    <w:p w14:paraId="5DDDCB45" w14:textId="77777777" w:rsidR="008C6D81" w:rsidRPr="00E1501E" w:rsidRDefault="008C6D81" w:rsidP="008C6D81">
      <w:pPr>
        <w:spacing w:after="0"/>
      </w:pPr>
    </w:p>
    <w:p w14:paraId="5BB4EA0A" w14:textId="15A3B3BC" w:rsidR="00D0588C" w:rsidRDefault="00431E0E" w:rsidP="00381299">
      <w:r>
        <w:lastRenderedPageBreak/>
        <w:t xml:space="preserve">Assurance should be provided on AI and its use in the organisation in two ways.  </w:t>
      </w:r>
      <w:r w:rsidR="009B5F3F">
        <w:t>F</w:t>
      </w:r>
      <w:r>
        <w:t>irst</w:t>
      </w:r>
      <w:r w:rsidR="009B5F3F">
        <w:t>ly,</w:t>
      </w:r>
      <w:r>
        <w:t xml:space="preserve"> </w:t>
      </w:r>
      <w:r w:rsidR="002F2B48">
        <w:t xml:space="preserve">AI lifecycle management processes should be included in the audit universe and assessed in the same manner as other processes to determine whether assurance </w:t>
      </w:r>
      <w:r w:rsidR="006C2443">
        <w:t>is required</w:t>
      </w:r>
      <w:r w:rsidR="00D0588C">
        <w:t xml:space="preserve">.  </w:t>
      </w:r>
    </w:p>
    <w:p w14:paraId="04957C47" w14:textId="7BB205E1" w:rsidR="0005440F" w:rsidRDefault="006E3231" w:rsidP="00381299">
      <w:r w:rsidRPr="006E3231">
        <w:t xml:space="preserve">The second form of assurance should </w:t>
      </w:r>
      <w:r w:rsidR="001B4A28">
        <w:t xml:space="preserve">involve auditing AI solutions </w:t>
      </w:r>
      <w:r w:rsidR="002F2B48">
        <w:t>using</w:t>
      </w:r>
      <w:r w:rsidR="001B4A28">
        <w:t xml:space="preserve"> a white-box approach (i.e., auditing the model itself, rather than </w:t>
      </w:r>
      <w:r w:rsidR="0086702B">
        <w:t xml:space="preserve">auditing </w:t>
      </w:r>
      <w:r w:rsidR="001B4A28">
        <w:t>around it</w:t>
      </w:r>
      <w:r w:rsidR="004373F1">
        <w:t xml:space="preserve">).  </w:t>
      </w:r>
      <w:r w:rsidRPr="006E3231">
        <w:t>To this end, in addition to considering the inherent and residual risk rating for a process and factors such as changes in the environment, fraud risk events and the maturity of the environment as part of their risk-based processes prioritisation, the CAE should consider the following factors for each process with respect to AI:</w:t>
      </w:r>
    </w:p>
    <w:p w14:paraId="58CBF34B" w14:textId="36BF0D6C" w:rsidR="0005440F" w:rsidRDefault="0005440F" w:rsidP="00E02ECC">
      <w:pPr>
        <w:pStyle w:val="ListParagraph"/>
      </w:pPr>
      <w:r>
        <w:t>Where AI is embedded in the process</w:t>
      </w:r>
      <w:r w:rsidR="0014667E">
        <w:t>.</w:t>
      </w:r>
    </w:p>
    <w:p w14:paraId="00F53AA3" w14:textId="1C487DC4" w:rsidR="002F4E43" w:rsidRDefault="002F4E43" w:rsidP="00E02ECC">
      <w:pPr>
        <w:pStyle w:val="ListParagraph"/>
      </w:pPr>
      <w:r>
        <w:t>The extent to which AI use impacts financial decisions</w:t>
      </w:r>
      <w:r w:rsidR="0014667E">
        <w:t>.</w:t>
      </w:r>
    </w:p>
    <w:p w14:paraId="5C0F45F8" w14:textId="240D8798" w:rsidR="002F4E43" w:rsidRDefault="002F4E43" w:rsidP="00E02ECC">
      <w:pPr>
        <w:pStyle w:val="ListParagraph"/>
      </w:pPr>
      <w:r>
        <w:t>The extent to which AI use impacts regulatory compliance</w:t>
      </w:r>
      <w:r w:rsidR="0014667E">
        <w:t>.</w:t>
      </w:r>
    </w:p>
    <w:p w14:paraId="3EAB4DF5" w14:textId="77988DBC" w:rsidR="002F4E43" w:rsidRDefault="002F4E43" w:rsidP="00E02ECC">
      <w:pPr>
        <w:pStyle w:val="ListParagraph"/>
      </w:pPr>
      <w:r>
        <w:t xml:space="preserve">The extent to which </w:t>
      </w:r>
      <w:r w:rsidR="0086702B">
        <w:t xml:space="preserve">the </w:t>
      </w:r>
      <w:r>
        <w:t>IA model bias could impact reputation.</w:t>
      </w:r>
    </w:p>
    <w:p w14:paraId="4AC6E52F" w14:textId="14FB113C" w:rsidR="005F6138" w:rsidRPr="00701FF1" w:rsidRDefault="00D35169" w:rsidP="0000780D">
      <w:pPr>
        <w:pStyle w:val="Heading2"/>
        <w:ind w:left="284" w:hanging="426"/>
        <w:rPr>
          <w:b/>
          <w:bCs w:val="0"/>
        </w:rPr>
      </w:pPr>
      <w:bookmarkStart w:id="23" w:name="_Toc215235080"/>
      <w:bookmarkStart w:id="24" w:name="_Toc223951577"/>
      <w:r w:rsidRPr="00701FF1">
        <w:rPr>
          <w:b/>
          <w:bCs w:val="0"/>
        </w:rPr>
        <w:t xml:space="preserve">Auditing </w:t>
      </w:r>
      <w:r w:rsidR="00A01205" w:rsidRPr="00701FF1">
        <w:rPr>
          <w:b/>
          <w:bCs w:val="0"/>
        </w:rPr>
        <w:t xml:space="preserve">AI </w:t>
      </w:r>
      <w:r w:rsidR="00431E0E" w:rsidRPr="00701FF1">
        <w:rPr>
          <w:b/>
          <w:bCs w:val="0"/>
        </w:rPr>
        <w:t xml:space="preserve">lifecycle </w:t>
      </w:r>
      <w:r w:rsidRPr="00701FF1">
        <w:rPr>
          <w:b/>
          <w:bCs w:val="0"/>
        </w:rPr>
        <w:t xml:space="preserve">management </w:t>
      </w:r>
      <w:r w:rsidR="00431E0E" w:rsidRPr="00701FF1">
        <w:rPr>
          <w:b/>
          <w:bCs w:val="0"/>
        </w:rPr>
        <w:t>process</w:t>
      </w:r>
      <w:r w:rsidRPr="00701FF1">
        <w:rPr>
          <w:b/>
          <w:bCs w:val="0"/>
        </w:rPr>
        <w:t>es</w:t>
      </w:r>
      <w:bookmarkEnd w:id="23"/>
      <w:bookmarkEnd w:id="24"/>
    </w:p>
    <w:p w14:paraId="065AC43D" w14:textId="34392F6A" w:rsidR="00D35169" w:rsidRPr="00D35169" w:rsidRDefault="00373A9E" w:rsidP="00C80C9D">
      <w:r w:rsidRPr="00373A9E">
        <w:t xml:space="preserve">The AI lifecycle management processes should be </w:t>
      </w:r>
      <w:r w:rsidR="0086702B">
        <w:t>proactively audited to provide real-time assurance rather than reactive</w:t>
      </w:r>
      <w:r w:rsidRPr="00373A9E">
        <w:t xml:space="preserve"> assurance. In practice, this means offering continuous assurance for high-risk AI solutions as they progress through every stage of the AI lifecycle, from initial development right through to retirement.</w:t>
      </w:r>
    </w:p>
    <w:p w14:paraId="2FDDE81B" w14:textId="5DD23209" w:rsidR="00D35169" w:rsidRPr="00D35169" w:rsidRDefault="00D35169" w:rsidP="00C80C9D">
      <w:pPr>
        <w:pStyle w:val="Heading3"/>
      </w:pPr>
      <w:r>
        <w:t>Key risks and controls to consider in the AI management lifecycle</w:t>
      </w:r>
    </w:p>
    <w:p w14:paraId="4B12F01F" w14:textId="77777777" w:rsidR="00BC49E3" w:rsidRPr="00BC49E3" w:rsidRDefault="00FB6310" w:rsidP="00BC49E3">
      <w:r>
        <w:t>Businesses should embed comprehensive practices throughout</w:t>
      </w:r>
      <w:r w:rsidRPr="00D93679">
        <w:t xml:space="preserve"> the model lifecycle</w:t>
      </w:r>
      <w:r>
        <w:t xml:space="preserve"> t</w:t>
      </w:r>
      <w:r w:rsidR="004B2675" w:rsidRPr="00D93679">
        <w:t xml:space="preserve">o achieve robust governance </w:t>
      </w:r>
      <w:r w:rsidR="0086702B">
        <w:t>of AI models</w:t>
      </w:r>
      <w:r w:rsidR="004B2675" w:rsidRPr="00D93679">
        <w:t xml:space="preserve">. </w:t>
      </w:r>
      <w:r w:rsidR="00BC49E3" w:rsidRPr="00BC49E3">
        <w:t>Table 1 sets out examples of the risks Internal Audit should consider and the controls that model owners and governance teams should implement.</w:t>
      </w:r>
    </w:p>
    <w:p w14:paraId="07200BA5" w14:textId="1F6DED82" w:rsidR="00B50E95" w:rsidRPr="00E33917" w:rsidRDefault="00E33917" w:rsidP="00DB1E3C">
      <w:pPr>
        <w:pStyle w:val="Caption"/>
        <w:keepNext/>
        <w:jc w:val="both"/>
      </w:pPr>
      <w:r>
        <w:t xml:space="preserve">Table </w:t>
      </w:r>
      <w:fldSimple w:instr=" SEQ Table \* ARABIC ">
        <w:r w:rsidR="00FE56EB">
          <w:t>1</w:t>
        </w:r>
      </w:fldSimple>
      <w:r w:rsidR="00B50E95" w:rsidRPr="00E33917">
        <w:t xml:space="preserve">: </w:t>
      </w:r>
      <w:r w:rsidR="004B2675" w:rsidRPr="00E33917">
        <w:t>Examples</w:t>
      </w:r>
      <w:r w:rsidR="00B50E95" w:rsidRPr="00E33917">
        <w:t xml:space="preserve"> of key risks and controls for AI models</w:t>
      </w:r>
    </w:p>
    <w:tbl>
      <w:tblPr>
        <w:tblStyle w:val="DocTable-Accent2"/>
        <w:tblW w:w="0" w:type="auto"/>
        <w:tblLook w:val="04A0" w:firstRow="1" w:lastRow="0" w:firstColumn="1" w:lastColumn="0" w:noHBand="0" w:noVBand="1"/>
      </w:tblPr>
      <w:tblGrid>
        <w:gridCol w:w="1814"/>
        <w:gridCol w:w="2926"/>
        <w:gridCol w:w="4738"/>
      </w:tblGrid>
      <w:tr w:rsidR="00B50E95" w:rsidRPr="0028723F" w14:paraId="50D9A705" w14:textId="77777777" w:rsidTr="002C40B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47" w:type="dxa"/>
          </w:tcPr>
          <w:p w14:paraId="5E004D73" w14:textId="77777777" w:rsidR="00B50E95" w:rsidRPr="00C80C9D" w:rsidRDefault="00B50E95" w:rsidP="00C80C9D">
            <w:pPr>
              <w:rPr>
                <w:sz w:val="18"/>
                <w:szCs w:val="18"/>
              </w:rPr>
            </w:pPr>
            <w:r w:rsidRPr="00C80C9D">
              <w:rPr>
                <w:sz w:val="18"/>
                <w:szCs w:val="18"/>
              </w:rPr>
              <w:t>Stage</w:t>
            </w:r>
          </w:p>
        </w:tc>
        <w:tc>
          <w:tcPr>
            <w:tcW w:w="2926" w:type="dxa"/>
          </w:tcPr>
          <w:p w14:paraId="4CA829F7" w14:textId="77777777" w:rsidR="00B50E95" w:rsidRPr="00C80C9D" w:rsidRDefault="00B50E95" w:rsidP="00C80C9D">
            <w:pPr>
              <w:cnfStyle w:val="100000000000" w:firstRow="1" w:lastRow="0" w:firstColumn="0" w:lastColumn="0" w:oddVBand="0" w:evenVBand="0" w:oddHBand="0" w:evenHBand="0" w:firstRowFirstColumn="0" w:firstRowLastColumn="0" w:lastRowFirstColumn="0" w:lastRowLastColumn="0"/>
              <w:rPr>
                <w:sz w:val="18"/>
                <w:szCs w:val="18"/>
              </w:rPr>
            </w:pPr>
            <w:r w:rsidRPr="00C80C9D">
              <w:rPr>
                <w:sz w:val="18"/>
                <w:szCs w:val="18"/>
              </w:rPr>
              <w:t>Key Risks</w:t>
            </w:r>
          </w:p>
        </w:tc>
        <w:tc>
          <w:tcPr>
            <w:tcW w:w="4738" w:type="dxa"/>
          </w:tcPr>
          <w:p w14:paraId="6A5EC5DD" w14:textId="77777777" w:rsidR="00B50E95" w:rsidRPr="00C80C9D" w:rsidRDefault="00B50E95" w:rsidP="00C80C9D">
            <w:pPr>
              <w:cnfStyle w:val="100000000000" w:firstRow="1" w:lastRow="0" w:firstColumn="0" w:lastColumn="0" w:oddVBand="0" w:evenVBand="0" w:oddHBand="0" w:evenHBand="0" w:firstRowFirstColumn="0" w:firstRowLastColumn="0" w:lastRowFirstColumn="0" w:lastRowLastColumn="0"/>
              <w:rPr>
                <w:sz w:val="18"/>
                <w:szCs w:val="18"/>
              </w:rPr>
            </w:pPr>
            <w:r w:rsidRPr="00C80C9D">
              <w:rPr>
                <w:sz w:val="18"/>
                <w:szCs w:val="18"/>
              </w:rPr>
              <w:t>Key Controls</w:t>
            </w:r>
          </w:p>
        </w:tc>
      </w:tr>
      <w:tr w:rsidR="002D2572" w:rsidRPr="0028723F" w14:paraId="5ACADE90" w14:textId="77777777" w:rsidTr="002C40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tcPr>
          <w:p w14:paraId="2EF182E3" w14:textId="58CC301C" w:rsidR="002D2572" w:rsidRPr="00C80C9D" w:rsidRDefault="002D2572" w:rsidP="00C80C9D">
            <w:pPr>
              <w:rPr>
                <w:sz w:val="18"/>
                <w:szCs w:val="18"/>
              </w:rPr>
            </w:pPr>
            <w:r w:rsidRPr="00C80C9D">
              <w:rPr>
                <w:sz w:val="18"/>
                <w:szCs w:val="18"/>
              </w:rPr>
              <w:t>Overall</w:t>
            </w:r>
          </w:p>
        </w:tc>
        <w:tc>
          <w:tcPr>
            <w:tcW w:w="2926" w:type="dxa"/>
          </w:tcPr>
          <w:p w14:paraId="37C30B8C" w14:textId="2DFDD94F" w:rsidR="008C74A3" w:rsidRDefault="0022155D" w:rsidP="00E51820">
            <w:pPr>
              <w:pStyle w:val="Tablebullet"/>
              <w:cnfStyle w:val="000000100000" w:firstRow="0" w:lastRow="0" w:firstColumn="0" w:lastColumn="0" w:oddVBand="0" w:evenVBand="0" w:oddHBand="1" w:evenHBand="0" w:firstRowFirstColumn="0" w:firstRowLastColumn="0" w:lastRowFirstColumn="0" w:lastRowLastColumn="0"/>
            </w:pPr>
            <w:r w:rsidRPr="0022155D">
              <w:t xml:space="preserve">Bias in algorithms, which can happen if historical data or sampling methods lead to </w:t>
            </w:r>
            <w:r w:rsidR="0086702B">
              <w:t>specific</w:t>
            </w:r>
            <w:r w:rsidRPr="0022155D">
              <w:t xml:space="preserve"> groups or regions being underrepresented</w:t>
            </w:r>
            <w:r w:rsidR="004C1344" w:rsidRPr="004C1344">
              <w:t xml:space="preserve">. </w:t>
            </w:r>
          </w:p>
          <w:p w14:paraId="2972FE92" w14:textId="77777777" w:rsidR="006772F4" w:rsidRDefault="008C74A3" w:rsidP="00E51820">
            <w:pPr>
              <w:pStyle w:val="Tablebullet"/>
              <w:cnfStyle w:val="000000100000" w:firstRow="0" w:lastRow="0" w:firstColumn="0" w:lastColumn="0" w:oddVBand="0" w:evenVBand="0" w:oddHBand="1" w:evenHBand="0" w:firstRowFirstColumn="0" w:firstRowLastColumn="0" w:lastRowFirstColumn="0" w:lastRowLastColumn="0"/>
            </w:pPr>
            <w:r w:rsidRPr="008C74A3">
              <w:t>A lack of transparency in how automated decisions are made.</w:t>
            </w:r>
          </w:p>
          <w:p w14:paraId="2CD25A4E" w14:textId="6BBF6AD9" w:rsidR="006772F4" w:rsidRPr="004C1344" w:rsidRDefault="006772F4" w:rsidP="00E51820">
            <w:pPr>
              <w:pStyle w:val="Tablebullet"/>
              <w:cnfStyle w:val="000000100000" w:firstRow="0" w:lastRow="0" w:firstColumn="0" w:lastColumn="0" w:oddVBand="0" w:evenVBand="0" w:oddHBand="1" w:evenHBand="0" w:firstRowFirstColumn="0" w:firstRowLastColumn="0" w:lastRowFirstColumn="0" w:lastRowLastColumn="0"/>
            </w:pPr>
            <w:r w:rsidRPr="006772F4">
              <w:t>New types of cyber threats, such as data poisoning and model inversion.</w:t>
            </w:r>
          </w:p>
          <w:p w14:paraId="0AC21F0A" w14:textId="0A3DC5BC" w:rsidR="004C1344" w:rsidRPr="004C1344" w:rsidRDefault="004C1344" w:rsidP="00E51820">
            <w:pPr>
              <w:pStyle w:val="Tablebullet"/>
              <w:cnfStyle w:val="000000100000" w:firstRow="0" w:lastRow="0" w:firstColumn="0" w:lastColumn="0" w:oddVBand="0" w:evenVBand="0" w:oddHBand="1" w:evenHBand="0" w:firstRowFirstColumn="0" w:firstRowLastColumn="0" w:lastRowFirstColumn="0" w:lastRowLastColumn="0"/>
            </w:pPr>
            <w:r w:rsidRPr="004C1344">
              <w:t xml:space="preserve">The risk of regulatory changes. </w:t>
            </w:r>
          </w:p>
          <w:p w14:paraId="5B835DA6" w14:textId="1F28891E" w:rsidR="00410E1F" w:rsidRDefault="00410E1F" w:rsidP="00E51820">
            <w:pPr>
              <w:pStyle w:val="Tablebullet"/>
              <w:cnfStyle w:val="000000100000" w:firstRow="0" w:lastRow="0" w:firstColumn="0" w:lastColumn="0" w:oddVBand="0" w:evenVBand="0" w:oddHBand="1" w:evenHBand="0" w:firstRowFirstColumn="0" w:firstRowLastColumn="0" w:lastRowFirstColumn="0" w:lastRowLastColumn="0"/>
            </w:pPr>
            <w:r>
              <w:lastRenderedPageBreak/>
              <w:t>Lack of critical design thinking</w:t>
            </w:r>
            <w:r w:rsidR="00434986">
              <w:t>.</w:t>
            </w:r>
          </w:p>
          <w:p w14:paraId="1AAA796F" w14:textId="3F8B8EDB" w:rsidR="00434986" w:rsidRDefault="00434986" w:rsidP="00E51820">
            <w:pPr>
              <w:pStyle w:val="Tablebullet"/>
              <w:cnfStyle w:val="000000100000" w:firstRow="0" w:lastRow="0" w:firstColumn="0" w:lastColumn="0" w:oddVBand="0" w:evenVBand="0" w:oddHBand="1" w:evenHBand="0" w:firstRowFirstColumn="0" w:firstRowLastColumn="0" w:lastRowFirstColumn="0" w:lastRowLastColumn="0"/>
            </w:pPr>
            <w:r>
              <w:t>Gaming the model.</w:t>
            </w:r>
          </w:p>
          <w:p w14:paraId="1DB4D7CD" w14:textId="69DA8D9B" w:rsidR="00434986" w:rsidRDefault="00FA45A8" w:rsidP="00E51820">
            <w:pPr>
              <w:pStyle w:val="Tablebullet"/>
              <w:cnfStyle w:val="000000100000" w:firstRow="0" w:lastRow="0" w:firstColumn="0" w:lastColumn="0" w:oddVBand="0" w:evenVBand="0" w:oddHBand="1" w:evenHBand="0" w:firstRowFirstColumn="0" w:firstRowLastColumn="0" w:lastRowFirstColumn="0" w:lastRowLastColumn="0"/>
            </w:pPr>
            <w:r>
              <w:t>Hidden errors.</w:t>
            </w:r>
          </w:p>
          <w:p w14:paraId="542D8C36" w14:textId="09213F3B" w:rsidR="004C1344" w:rsidRPr="004C1344" w:rsidRDefault="004C1344" w:rsidP="00E51820">
            <w:pPr>
              <w:pStyle w:val="Tablebullet"/>
              <w:cnfStyle w:val="000000100000" w:firstRow="0" w:lastRow="0" w:firstColumn="0" w:lastColumn="0" w:oddVBand="0" w:evenVBand="0" w:oddHBand="1" w:evenHBand="0" w:firstRowFirstColumn="0" w:firstRowLastColumn="0" w:lastRowFirstColumn="0" w:lastRowLastColumn="0"/>
            </w:pPr>
            <w:r w:rsidRPr="004C1344">
              <w:t xml:space="preserve">Not enough human oversight. </w:t>
            </w:r>
          </w:p>
          <w:p w14:paraId="0782321D" w14:textId="77777777" w:rsidR="006772F4" w:rsidRDefault="004C1344" w:rsidP="00E51820">
            <w:pPr>
              <w:pStyle w:val="Tablebullet"/>
              <w:cnfStyle w:val="000000100000" w:firstRow="0" w:lastRow="0" w:firstColumn="0" w:lastColumn="0" w:oddVBand="0" w:evenVBand="0" w:oddHBand="1" w:evenHBand="0" w:firstRowFirstColumn="0" w:firstRowLastColumn="0" w:lastRowFirstColumn="0" w:lastRowLastColumn="0"/>
            </w:pPr>
            <w:r w:rsidRPr="004C1344">
              <w:t xml:space="preserve">Dependence on vendors, third parties, and cloud or API services. </w:t>
            </w:r>
          </w:p>
          <w:p w14:paraId="02370A4C" w14:textId="060B40C9" w:rsidR="004B2675" w:rsidRPr="0028723F" w:rsidRDefault="006772F4" w:rsidP="00E51820">
            <w:pPr>
              <w:pStyle w:val="Tablebullet"/>
              <w:cnfStyle w:val="000000100000" w:firstRow="0" w:lastRow="0" w:firstColumn="0" w:lastColumn="0" w:oddVBand="0" w:evenVBand="0" w:oddHBand="1" w:evenHBand="0" w:firstRowFirstColumn="0" w:firstRowLastColumn="0" w:lastRowFirstColumn="0" w:lastRowLastColumn="0"/>
            </w:pPr>
            <w:r w:rsidRPr="006772F4">
              <w:t>Poor traceability and accountability within AI systems.</w:t>
            </w:r>
          </w:p>
        </w:tc>
        <w:tc>
          <w:tcPr>
            <w:tcW w:w="4738" w:type="dxa"/>
          </w:tcPr>
          <w:p w14:paraId="79409935" w14:textId="77777777" w:rsidR="00591CCA" w:rsidRDefault="00591CCA" w:rsidP="00E51820">
            <w:pPr>
              <w:pStyle w:val="Tablebullet"/>
              <w:cnfStyle w:val="000000100000" w:firstRow="0" w:lastRow="0" w:firstColumn="0" w:lastColumn="0" w:oddVBand="0" w:evenVBand="0" w:oddHBand="1" w:evenHBand="0" w:firstRowFirstColumn="0" w:firstRowLastColumn="0" w:lastRowFirstColumn="0" w:lastRowLastColumn="0"/>
            </w:pPr>
            <w:r w:rsidRPr="00DB1E3C">
              <w:lastRenderedPageBreak/>
              <w:t>Bias detection and mitigation procedures that test for skewed outcomes</w:t>
            </w:r>
            <w:r>
              <w:t>.</w:t>
            </w:r>
          </w:p>
          <w:p w14:paraId="5F03A2AB" w14:textId="5D60B334" w:rsidR="002D2572" w:rsidRPr="0028723F" w:rsidRDefault="00487A41" w:rsidP="00E51820">
            <w:pPr>
              <w:pStyle w:val="Tablebullet"/>
              <w:cnfStyle w:val="000000100000" w:firstRow="0" w:lastRow="0" w:firstColumn="0" w:lastColumn="0" w:oddVBand="0" w:evenVBand="0" w:oddHBand="1" w:evenHBand="0" w:firstRowFirstColumn="0" w:firstRowLastColumn="0" w:lastRowFirstColumn="0" w:lastRowLastColumn="0"/>
            </w:pPr>
            <w:r w:rsidRPr="00487A41">
              <w:t>Use of use of diverse and representative training data</w:t>
            </w:r>
            <w:r w:rsidR="00871658">
              <w:t>.</w:t>
            </w:r>
          </w:p>
          <w:p w14:paraId="0B07A5D7" w14:textId="38DDB94E" w:rsidR="00C90F77" w:rsidRPr="00C90F77" w:rsidRDefault="00C90F77" w:rsidP="00C90F77">
            <w:pPr>
              <w:pStyle w:val="Tablebullet"/>
              <w:cnfStyle w:val="000000100000" w:firstRow="0" w:lastRow="0" w:firstColumn="0" w:lastColumn="0" w:oddVBand="0" w:evenVBand="0" w:oddHBand="1" w:evenHBand="0" w:firstRowFirstColumn="0" w:firstRowLastColumn="0" w:lastRowFirstColumn="0" w:lastRowLastColumn="0"/>
            </w:pPr>
            <w:r w:rsidRPr="00C90F77">
              <w:t>Explainability frameworks allow</w:t>
            </w:r>
            <w:r>
              <w:t>ing</w:t>
            </w:r>
            <w:r w:rsidRPr="00C90F77">
              <w:t xml:space="preserve"> model owners to interpret and justify outputs.</w:t>
            </w:r>
          </w:p>
          <w:p w14:paraId="14B6AB47" w14:textId="576DDCD4" w:rsidR="002D2572" w:rsidRPr="0028723F" w:rsidRDefault="002D2572" w:rsidP="00E51820">
            <w:pPr>
              <w:pStyle w:val="Tablebullet"/>
              <w:cnfStyle w:val="000000100000" w:firstRow="0" w:lastRow="0" w:firstColumn="0" w:lastColumn="0" w:oddVBand="0" w:evenVBand="0" w:oddHBand="1" w:evenHBand="0" w:firstRowFirstColumn="0" w:firstRowLastColumn="0" w:lastRowFirstColumn="0" w:lastRowLastColumn="0"/>
            </w:pPr>
            <w:r w:rsidRPr="0028723F">
              <w:t xml:space="preserve">Governance </w:t>
            </w:r>
            <w:r w:rsidR="004F42A7" w:rsidRPr="0028723F">
              <w:t>o</w:t>
            </w:r>
            <w:r w:rsidRPr="0028723F">
              <w:t>versight</w:t>
            </w:r>
            <w:r w:rsidR="004F42A7" w:rsidRPr="0028723F">
              <w:t xml:space="preserve"> by ethics and governance committees</w:t>
            </w:r>
            <w:r w:rsidR="00AB4052">
              <w:t>.</w:t>
            </w:r>
          </w:p>
          <w:p w14:paraId="74F5960B" w14:textId="2CBD9C17" w:rsidR="004F42A7" w:rsidRPr="0028723F" w:rsidRDefault="00492B31" w:rsidP="00E51820">
            <w:pPr>
              <w:pStyle w:val="Tablebullet"/>
              <w:cnfStyle w:val="000000100000" w:firstRow="0" w:lastRow="0" w:firstColumn="0" w:lastColumn="0" w:oddVBand="0" w:evenVBand="0" w:oddHBand="1" w:evenHBand="0" w:firstRowFirstColumn="0" w:firstRowLastColumn="0" w:lastRowFirstColumn="0" w:lastRowLastColumn="0"/>
            </w:pPr>
            <w:r w:rsidRPr="0028723F">
              <w:t>Keep</w:t>
            </w:r>
            <w:r w:rsidR="004F42A7" w:rsidRPr="0028723F">
              <w:t xml:space="preserve"> detailed records of model design, training data, and decision logic</w:t>
            </w:r>
            <w:r w:rsidR="00AB4052">
              <w:t>.</w:t>
            </w:r>
          </w:p>
          <w:p w14:paraId="5B352705" w14:textId="77777777" w:rsidR="00532A4A" w:rsidRDefault="00532A4A" w:rsidP="00532A4A">
            <w:pPr>
              <w:pStyle w:val="Tablebullet"/>
              <w:cnfStyle w:val="000000100000" w:firstRow="0" w:lastRow="0" w:firstColumn="0" w:lastColumn="0" w:oddVBand="0" w:evenVBand="0" w:oddHBand="1" w:evenHBand="0" w:firstRowFirstColumn="0" w:firstRowLastColumn="0" w:lastRowFirstColumn="0" w:lastRowLastColumn="0"/>
            </w:pPr>
            <w:r w:rsidRPr="00532A4A">
              <w:t>Processes to inform individuals when decisions are AI</w:t>
            </w:r>
            <w:r w:rsidRPr="00532A4A">
              <w:rPr>
                <w:rFonts w:ascii="Cambria Math" w:hAnsi="Cambria Math" w:cs="Cambria Math"/>
              </w:rPr>
              <w:t>‑</w:t>
            </w:r>
            <w:r w:rsidRPr="00532A4A">
              <w:t>driven.</w:t>
            </w:r>
          </w:p>
          <w:p w14:paraId="2F054F62" w14:textId="17E0F9E3" w:rsidR="00532A4A" w:rsidRPr="00532A4A" w:rsidRDefault="00532A4A" w:rsidP="00DD649C">
            <w:pPr>
              <w:pStyle w:val="Tablebullet"/>
              <w:cnfStyle w:val="000000100000" w:firstRow="0" w:lastRow="0" w:firstColumn="0" w:lastColumn="0" w:oddVBand="0" w:evenVBand="0" w:oddHBand="1" w:evenHBand="0" w:firstRowFirstColumn="0" w:firstRowLastColumn="0" w:lastRowFirstColumn="0" w:lastRowLastColumn="0"/>
            </w:pPr>
            <w:r w:rsidRPr="00532A4A">
              <w:t xml:space="preserve">Provide </w:t>
            </w:r>
            <w:r w:rsidR="00DD649C">
              <w:t>m</w:t>
            </w:r>
            <w:r w:rsidR="00DD649C" w:rsidRPr="00DD649C">
              <w:t>echanisms for human review of significant decisions</w:t>
            </w:r>
            <w:r w:rsidRPr="00532A4A">
              <w:t>.</w:t>
            </w:r>
          </w:p>
          <w:p w14:paraId="23078305" w14:textId="723A1BE6" w:rsidR="009B5DB0" w:rsidRDefault="009B5DB0" w:rsidP="00E51820">
            <w:pPr>
              <w:pStyle w:val="Tablebullet"/>
              <w:cnfStyle w:val="000000100000" w:firstRow="0" w:lastRow="0" w:firstColumn="0" w:lastColumn="0" w:oddVBand="0" w:evenVBand="0" w:oddHBand="1" w:evenHBand="0" w:firstRowFirstColumn="0" w:firstRowLastColumn="0" w:lastRowFirstColumn="0" w:lastRowLastColumn="0"/>
            </w:pPr>
            <w:r w:rsidRPr="009B5DB0">
              <w:lastRenderedPageBreak/>
              <w:t>Assign clear responsibility for reviewing and approving critical AI decisions</w:t>
            </w:r>
            <w:r>
              <w:t>.</w:t>
            </w:r>
          </w:p>
          <w:p w14:paraId="00476338" w14:textId="5DF77C46" w:rsidR="00794EC8" w:rsidRDefault="00794EC8" w:rsidP="00E51820">
            <w:pPr>
              <w:pStyle w:val="Tablebullet"/>
              <w:cnfStyle w:val="000000100000" w:firstRow="0" w:lastRow="0" w:firstColumn="0" w:lastColumn="0" w:oddVBand="0" w:evenVBand="0" w:oddHBand="1" w:evenHBand="0" w:firstRowFirstColumn="0" w:firstRowLastColumn="0" w:lastRowFirstColumn="0" w:lastRowLastColumn="0"/>
            </w:pPr>
            <w:r>
              <w:t>Assign clear responsibility for reviewing and approving algorithmic outcomes</w:t>
            </w:r>
            <w:r w:rsidR="00AC2231">
              <w:t>.</w:t>
            </w:r>
          </w:p>
          <w:p w14:paraId="18CF9F4D" w14:textId="701F1188" w:rsidR="00741706" w:rsidRDefault="00741706" w:rsidP="00E51820">
            <w:pPr>
              <w:pStyle w:val="Tablebullet"/>
              <w:cnfStyle w:val="000000100000" w:firstRow="0" w:lastRow="0" w:firstColumn="0" w:lastColumn="0" w:oddVBand="0" w:evenVBand="0" w:oddHBand="1" w:evenHBand="0" w:firstRowFirstColumn="0" w:firstRowLastColumn="0" w:lastRowFirstColumn="0" w:lastRowLastColumn="0"/>
            </w:pPr>
            <w:r w:rsidRPr="00741706">
              <w:t>Follow secure development practices</w:t>
            </w:r>
            <w:r>
              <w:t>.</w:t>
            </w:r>
          </w:p>
          <w:p w14:paraId="2DC5AE2E" w14:textId="42D65CA4" w:rsidR="00492B31" w:rsidRPr="0028723F" w:rsidRDefault="00E47D22" w:rsidP="00E51820">
            <w:pPr>
              <w:pStyle w:val="Tablebullet"/>
              <w:cnfStyle w:val="000000100000" w:firstRow="0" w:lastRow="0" w:firstColumn="0" w:lastColumn="0" w:oddVBand="0" w:evenVBand="0" w:oddHBand="1" w:evenHBand="0" w:firstRowFirstColumn="0" w:firstRowLastColumn="0" w:lastRowFirstColumn="0" w:lastRowLastColumn="0"/>
            </w:pPr>
            <w:r>
              <w:t>Carry out a</w:t>
            </w:r>
            <w:r w:rsidR="00492B31" w:rsidRPr="0028723F">
              <w:t>dversarial testing</w:t>
            </w:r>
            <w:r w:rsidR="00285027">
              <w:t>, to identify vulnerabilities</w:t>
            </w:r>
            <w:r w:rsidR="00115D3A">
              <w:t>.</w:t>
            </w:r>
          </w:p>
          <w:p w14:paraId="71A10096" w14:textId="4DF3C99E" w:rsidR="00115D3A" w:rsidRDefault="00115D3A" w:rsidP="00E51820">
            <w:pPr>
              <w:pStyle w:val="Tablebullet"/>
              <w:cnfStyle w:val="000000100000" w:firstRow="0" w:lastRow="0" w:firstColumn="0" w:lastColumn="0" w:oddVBand="0" w:evenVBand="0" w:oddHBand="1" w:evenHBand="0" w:firstRowFirstColumn="0" w:firstRowLastColumn="0" w:lastRowFirstColumn="0" w:lastRowLastColumn="0"/>
            </w:pPr>
            <w:r w:rsidRPr="00115D3A">
              <w:t>Maintain strong API security</w:t>
            </w:r>
            <w:r w:rsidR="00285027">
              <w:t>, to restrict unauthorised access</w:t>
            </w:r>
            <w:r>
              <w:t>.</w:t>
            </w:r>
          </w:p>
          <w:p w14:paraId="06784601" w14:textId="4F223A0D" w:rsidR="007E1EE7" w:rsidRDefault="007E1EE7" w:rsidP="00E51820">
            <w:pPr>
              <w:pStyle w:val="Tablebullet"/>
              <w:cnfStyle w:val="000000100000" w:firstRow="0" w:lastRow="0" w:firstColumn="0" w:lastColumn="0" w:oddVBand="0" w:evenVBand="0" w:oddHBand="1" w:evenHBand="0" w:firstRowFirstColumn="0" w:firstRowLastColumn="0" w:lastRowFirstColumn="0" w:lastRowLastColumn="0"/>
            </w:pPr>
            <w:r w:rsidRPr="007E1EE7">
              <w:t>Monitor for unusual patterns in data inputs and model outputs to spot potential attacks</w:t>
            </w:r>
            <w:r>
              <w:t>.</w:t>
            </w:r>
          </w:p>
          <w:p w14:paraId="28AD38CA" w14:textId="77777777" w:rsidR="00754158" w:rsidRDefault="007E1EE7" w:rsidP="00754158">
            <w:pPr>
              <w:pStyle w:val="Tablebullet"/>
              <w:cnfStyle w:val="000000100000" w:firstRow="0" w:lastRow="0" w:firstColumn="0" w:lastColumn="0" w:oddVBand="0" w:evenVBand="0" w:oddHBand="1" w:evenHBand="0" w:firstRowFirstColumn="0" w:firstRowLastColumn="0" w:lastRowFirstColumn="0" w:lastRowLastColumn="0"/>
            </w:pPr>
            <w:r w:rsidRPr="007E1EE7">
              <w:t>Conduct regular compliance reviews for POPIA, GDPR, and EU AI regulations</w:t>
            </w:r>
            <w:r>
              <w:t>.</w:t>
            </w:r>
            <w:r w:rsidR="00754158">
              <w:t xml:space="preserve"> </w:t>
            </w:r>
          </w:p>
          <w:p w14:paraId="02D4F29E" w14:textId="7B19D27E" w:rsidR="007E1EE7" w:rsidRDefault="00754158" w:rsidP="00754158">
            <w:pPr>
              <w:pStyle w:val="Tablebullet"/>
              <w:cnfStyle w:val="000000100000" w:firstRow="0" w:lastRow="0" w:firstColumn="0" w:lastColumn="0" w:oddVBand="0" w:evenVBand="0" w:oddHBand="1" w:evenHBand="0" w:firstRowFirstColumn="0" w:firstRowLastColumn="0" w:lastRowFirstColumn="0" w:lastRowLastColumn="0"/>
            </w:pPr>
            <w:r w:rsidRPr="00754158">
              <w:t>Vendor risk management processes covering cloud/API providers.</w:t>
            </w:r>
          </w:p>
          <w:p w14:paraId="3AF14F96" w14:textId="01C2B1D2" w:rsidR="00275A36" w:rsidRPr="00275A36" w:rsidRDefault="00BC5723" w:rsidP="00E51820">
            <w:pPr>
              <w:pStyle w:val="Tablebullet"/>
              <w:cnfStyle w:val="000000100000" w:firstRow="0" w:lastRow="0" w:firstColumn="0" w:lastColumn="0" w:oddVBand="0" w:evenVBand="0" w:oddHBand="1" w:evenHBand="0" w:firstRowFirstColumn="0" w:firstRowLastColumn="0" w:lastRowFirstColumn="0" w:lastRowLastColumn="0"/>
            </w:pPr>
            <w:r>
              <w:t xml:space="preserve">Ensure </w:t>
            </w:r>
            <w:r w:rsidR="00275A36">
              <w:t>agreements</w:t>
            </w:r>
            <w:r>
              <w:t xml:space="preserve"> with AI Vendors include addenda</w:t>
            </w:r>
            <w:r w:rsidR="003B6D20">
              <w:t xml:space="preserve"> </w:t>
            </w:r>
            <w:r w:rsidR="00275A36">
              <w:t xml:space="preserve">outlining the </w:t>
            </w:r>
            <w:r w:rsidR="00133907">
              <w:t xml:space="preserve">right to request </w:t>
            </w:r>
            <w:r w:rsidR="00275A36" w:rsidRPr="00DB1E3C">
              <w:t>SOC 2</w:t>
            </w:r>
            <w:r w:rsidR="00275A36" w:rsidRPr="00275A36">
              <w:rPr>
                <w:b/>
                <w:bCs/>
              </w:rPr>
              <w:t xml:space="preserve"> </w:t>
            </w:r>
            <w:r w:rsidR="00275A36" w:rsidRPr="00DB1E3C">
              <w:t>reports</w:t>
            </w:r>
            <w:r w:rsidR="00275A36" w:rsidRPr="00275A36">
              <w:t xml:space="preserve"> or independent attestations to assess vendor model development and data handling.</w:t>
            </w:r>
          </w:p>
          <w:p w14:paraId="710F519A" w14:textId="5D1520C9" w:rsidR="007652CB" w:rsidRDefault="00D72B16" w:rsidP="00E51820">
            <w:pPr>
              <w:pStyle w:val="Tablebullet"/>
              <w:cnfStyle w:val="000000100000" w:firstRow="0" w:lastRow="0" w:firstColumn="0" w:lastColumn="0" w:oddVBand="0" w:evenVBand="0" w:oddHBand="1" w:evenHBand="0" w:firstRowFirstColumn="0" w:firstRowLastColumn="0" w:lastRowFirstColumn="0" w:lastRowLastColumn="0"/>
            </w:pPr>
            <w:r>
              <w:t xml:space="preserve">Include </w:t>
            </w:r>
            <w:r w:rsidRPr="00D72B16">
              <w:t xml:space="preserve">a specific </w:t>
            </w:r>
            <w:r w:rsidR="00741934">
              <w:t>‘</w:t>
            </w:r>
            <w:r w:rsidRPr="00D72B16">
              <w:t>right to audit</w:t>
            </w:r>
            <w:r w:rsidR="00741934">
              <w:t>’</w:t>
            </w:r>
            <w:r w:rsidRPr="00D72B16">
              <w:t xml:space="preserve"> clause and AI-focused addenda to ensure</w:t>
            </w:r>
            <w:r>
              <w:t xml:space="preserve"> third-party</w:t>
            </w:r>
            <w:r w:rsidRPr="00D72B16">
              <w:t xml:space="preserve"> vendors disclose data-handling and bias-mitigation practices</w:t>
            </w:r>
            <w:r>
              <w:t>.</w:t>
            </w:r>
          </w:p>
          <w:p w14:paraId="1492B232" w14:textId="4D2B49EF" w:rsidR="004B2675" w:rsidRPr="0028723F" w:rsidRDefault="00947301" w:rsidP="00E51820">
            <w:pPr>
              <w:pStyle w:val="Tablebullet"/>
              <w:cnfStyle w:val="000000100000" w:firstRow="0" w:lastRow="0" w:firstColumn="0" w:lastColumn="0" w:oddVBand="0" w:evenVBand="0" w:oddHBand="1" w:evenHBand="0" w:firstRowFirstColumn="0" w:firstRowLastColumn="0" w:lastRowFirstColumn="0" w:lastRowLastColumn="0"/>
            </w:pPr>
            <w:r w:rsidRPr="00947301">
              <w:t>Maintain comprehensive documentation and audit trails</w:t>
            </w:r>
            <w:r w:rsidR="000042AA">
              <w:t xml:space="preserve"> </w:t>
            </w:r>
            <w:r w:rsidR="000042AA" w:rsidRPr="00C3335D">
              <w:rPr>
                <w:rFonts w:ascii="Arial Narrow" w:hAnsi="Arial Narrow"/>
              </w:rPr>
              <w:t>that support traceability across the lifecycle</w:t>
            </w:r>
            <w:r w:rsidRPr="00947301">
              <w:t>.</w:t>
            </w:r>
          </w:p>
        </w:tc>
      </w:tr>
      <w:tr w:rsidR="00B50E95" w:rsidRPr="0028723F" w14:paraId="30C8CE0E" w14:textId="77777777" w:rsidTr="002C40BD">
        <w:tc>
          <w:tcPr>
            <w:cnfStyle w:val="001000000000" w:firstRow="0" w:lastRow="0" w:firstColumn="1" w:lastColumn="0" w:oddVBand="0" w:evenVBand="0" w:oddHBand="0" w:evenHBand="0" w:firstRowFirstColumn="0" w:firstRowLastColumn="0" w:lastRowFirstColumn="0" w:lastRowLastColumn="0"/>
            <w:tcW w:w="1747" w:type="dxa"/>
          </w:tcPr>
          <w:p w14:paraId="48E94EB2" w14:textId="52C3E4E3" w:rsidR="00B50E95" w:rsidRPr="00C80C9D" w:rsidRDefault="00B50E95" w:rsidP="004E7166">
            <w:pPr>
              <w:jc w:val="left"/>
              <w:rPr>
                <w:sz w:val="18"/>
                <w:szCs w:val="18"/>
              </w:rPr>
            </w:pPr>
            <w:r w:rsidRPr="00C80C9D">
              <w:rPr>
                <w:sz w:val="18"/>
                <w:szCs w:val="18"/>
              </w:rPr>
              <w:lastRenderedPageBreak/>
              <w:t>Ideation and planning</w:t>
            </w:r>
          </w:p>
        </w:tc>
        <w:tc>
          <w:tcPr>
            <w:tcW w:w="2926" w:type="dxa"/>
          </w:tcPr>
          <w:p w14:paraId="45EC3638" w14:textId="431850F5" w:rsidR="007F5729" w:rsidRPr="007F5729" w:rsidRDefault="007F5729" w:rsidP="00E51820">
            <w:pPr>
              <w:pStyle w:val="Tablebullet"/>
              <w:cnfStyle w:val="000000000000" w:firstRow="0" w:lastRow="0" w:firstColumn="0" w:lastColumn="0" w:oddVBand="0" w:evenVBand="0" w:oddHBand="0" w:evenHBand="0" w:firstRowFirstColumn="0" w:firstRowLastColumn="0" w:lastRowFirstColumn="0" w:lastRowLastColumn="0"/>
            </w:pPr>
            <w:r w:rsidRPr="007F5729">
              <w:t>Objectives that aren’t clearly aligned with business goals</w:t>
            </w:r>
            <w:r>
              <w:t>.</w:t>
            </w:r>
          </w:p>
          <w:p w14:paraId="11E8D5F8" w14:textId="14203F5C" w:rsidR="007F5729" w:rsidRPr="007F5729" w:rsidRDefault="007F5729" w:rsidP="00E51820">
            <w:pPr>
              <w:pStyle w:val="Tablebullet"/>
              <w:cnfStyle w:val="000000000000" w:firstRow="0" w:lastRow="0" w:firstColumn="0" w:lastColumn="0" w:oddVBand="0" w:evenVBand="0" w:oddHBand="0" w:evenHBand="0" w:firstRowFirstColumn="0" w:firstRowLastColumn="0" w:lastRowFirstColumn="0" w:lastRowLastColumn="0"/>
            </w:pPr>
            <w:r w:rsidRPr="007F5729">
              <w:t>Unclear regulatory implications</w:t>
            </w:r>
            <w:r>
              <w:t>.</w:t>
            </w:r>
            <w:r w:rsidRPr="007F5729">
              <w:t xml:space="preserve"> </w:t>
            </w:r>
          </w:p>
          <w:p w14:paraId="397CE160" w14:textId="56DB9681" w:rsidR="00B50E95" w:rsidRPr="0028723F" w:rsidRDefault="007F5729" w:rsidP="00E51820">
            <w:pPr>
              <w:pStyle w:val="Tablebullet"/>
              <w:cnfStyle w:val="000000000000" w:firstRow="0" w:lastRow="0" w:firstColumn="0" w:lastColumn="0" w:oddVBand="0" w:evenVBand="0" w:oddHBand="0" w:evenHBand="0" w:firstRowFirstColumn="0" w:firstRowLastColumn="0" w:lastRowFirstColumn="0" w:lastRowLastColumn="0"/>
            </w:pPr>
            <w:r w:rsidRPr="007F5729">
              <w:t>Weak governance structures</w:t>
            </w:r>
            <w:r>
              <w:t>.</w:t>
            </w:r>
          </w:p>
        </w:tc>
        <w:tc>
          <w:tcPr>
            <w:tcW w:w="4738" w:type="dxa"/>
          </w:tcPr>
          <w:p w14:paraId="70390726" w14:textId="70AAA553" w:rsidR="00B50E95" w:rsidRPr="0028723F" w:rsidRDefault="0011477C" w:rsidP="0011477C">
            <w:pPr>
              <w:pStyle w:val="Tablebullet"/>
              <w:cnfStyle w:val="000000000000" w:firstRow="0" w:lastRow="0" w:firstColumn="0" w:lastColumn="0" w:oddVBand="0" w:evenVBand="0" w:oddHBand="0" w:evenHBand="0" w:firstRowFirstColumn="0" w:firstRowLastColumn="0" w:lastRowFirstColumn="0" w:lastRowLastColumn="0"/>
            </w:pPr>
            <w:r w:rsidRPr="0011477C">
              <w:t>Formal business case approval that confirms the model’s purpose and expected outcomes</w:t>
            </w:r>
            <w:r w:rsidR="00CF1062">
              <w:t>.</w:t>
            </w:r>
          </w:p>
          <w:p w14:paraId="7C30A3AC" w14:textId="0813CF1B" w:rsidR="00B50E95" w:rsidRPr="0028723F" w:rsidRDefault="000E07FB" w:rsidP="00E51820">
            <w:pPr>
              <w:pStyle w:val="Tablebullet"/>
              <w:cnfStyle w:val="000000000000" w:firstRow="0" w:lastRow="0" w:firstColumn="0" w:lastColumn="0" w:oddVBand="0" w:evenVBand="0" w:oddHBand="0" w:evenHBand="0" w:firstRowFirstColumn="0" w:firstRowLastColumn="0" w:lastRowFirstColumn="0" w:lastRowLastColumn="0"/>
            </w:pPr>
            <w:r>
              <w:t>R</w:t>
            </w:r>
            <w:r w:rsidR="00B50E95" w:rsidRPr="0028723F">
              <w:t xml:space="preserve">isk </w:t>
            </w:r>
            <w:r w:rsidR="00406612">
              <w:t xml:space="preserve">assessment, rating and </w:t>
            </w:r>
            <w:r w:rsidR="00B50E95" w:rsidRPr="0028723F">
              <w:t>classification</w:t>
            </w:r>
            <w:r w:rsidR="00406612">
              <w:t>.</w:t>
            </w:r>
          </w:p>
          <w:p w14:paraId="06DEEA22" w14:textId="29D168C9" w:rsidR="00B50E95" w:rsidRPr="0028723F" w:rsidRDefault="00B50E95" w:rsidP="00E51820">
            <w:pPr>
              <w:pStyle w:val="Tablebullet"/>
              <w:cnfStyle w:val="000000000000" w:firstRow="0" w:lastRow="0" w:firstColumn="0" w:lastColumn="0" w:oddVBand="0" w:evenVBand="0" w:oddHBand="0" w:evenHBand="0" w:firstRowFirstColumn="0" w:firstRowLastColumn="0" w:lastRowFirstColumn="0" w:lastRowLastColumn="0"/>
            </w:pPr>
            <w:r w:rsidRPr="0028723F">
              <w:t>Governance committee review</w:t>
            </w:r>
            <w:r w:rsidR="00406612">
              <w:t>.</w:t>
            </w:r>
          </w:p>
        </w:tc>
      </w:tr>
      <w:tr w:rsidR="00B50E95" w:rsidRPr="0028723F" w14:paraId="57772AE2" w14:textId="77777777" w:rsidTr="002C40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tcPr>
          <w:p w14:paraId="2295AF4D" w14:textId="7ED4753B" w:rsidR="00B50E95" w:rsidRPr="00C80C9D" w:rsidRDefault="00B50E95" w:rsidP="004E7166">
            <w:pPr>
              <w:jc w:val="left"/>
              <w:rPr>
                <w:sz w:val="18"/>
                <w:szCs w:val="18"/>
              </w:rPr>
            </w:pPr>
            <w:r w:rsidRPr="00C80C9D">
              <w:rPr>
                <w:sz w:val="18"/>
                <w:szCs w:val="18"/>
              </w:rPr>
              <w:t>Data collection and preparation</w:t>
            </w:r>
          </w:p>
        </w:tc>
        <w:tc>
          <w:tcPr>
            <w:tcW w:w="2926" w:type="dxa"/>
          </w:tcPr>
          <w:p w14:paraId="758BBEEB" w14:textId="77777777" w:rsidR="00A03014" w:rsidRPr="0028723F" w:rsidRDefault="00A03014" w:rsidP="00E51820">
            <w:pPr>
              <w:pStyle w:val="Tablebullet"/>
              <w:cnfStyle w:val="000000100000" w:firstRow="0" w:lastRow="0" w:firstColumn="0" w:lastColumn="0" w:oddVBand="0" w:evenVBand="0" w:oddHBand="1" w:evenHBand="0" w:firstRowFirstColumn="0" w:firstRowLastColumn="0" w:lastRowFirstColumn="0" w:lastRowLastColumn="0"/>
            </w:pPr>
            <w:r w:rsidRPr="0028723F">
              <w:t>Poor data quality</w:t>
            </w:r>
            <w:r>
              <w:t>.</w:t>
            </w:r>
          </w:p>
          <w:p w14:paraId="6A6E036B" w14:textId="77777777" w:rsidR="00A03014" w:rsidRDefault="007818CA" w:rsidP="00E51820">
            <w:pPr>
              <w:pStyle w:val="Tablebullet"/>
              <w:cnfStyle w:val="000000100000" w:firstRow="0" w:lastRow="0" w:firstColumn="0" w:lastColumn="0" w:oddVBand="0" w:evenVBand="0" w:oddHBand="1" w:evenHBand="0" w:firstRowFirstColumn="0" w:firstRowLastColumn="0" w:lastRowFirstColumn="0" w:lastRowLastColumn="0"/>
            </w:pPr>
            <w:r w:rsidRPr="0028723F">
              <w:t xml:space="preserve">Use of non-compliant </w:t>
            </w:r>
            <w:r w:rsidR="004B2675" w:rsidRPr="0028723F">
              <w:t xml:space="preserve">or unauthorised </w:t>
            </w:r>
            <w:r w:rsidRPr="0028723F">
              <w:t>data</w:t>
            </w:r>
            <w:r w:rsidR="00723440">
              <w:t>.</w:t>
            </w:r>
          </w:p>
          <w:p w14:paraId="6372E9FF" w14:textId="0E149F67" w:rsidR="00B50E95" w:rsidRPr="0028723F" w:rsidRDefault="00A03014" w:rsidP="00E51820">
            <w:pPr>
              <w:pStyle w:val="Tablebullet"/>
              <w:cnfStyle w:val="000000100000" w:firstRow="0" w:lastRow="0" w:firstColumn="0" w:lastColumn="0" w:oddVBand="0" w:evenVBand="0" w:oddHBand="1" w:evenHBand="0" w:firstRowFirstColumn="0" w:firstRowLastColumn="0" w:lastRowFirstColumn="0" w:lastRowLastColumn="0"/>
            </w:pPr>
            <w:r w:rsidRPr="0028723F">
              <w:t>Privacy breaches</w:t>
            </w:r>
            <w:r>
              <w:t>.</w:t>
            </w:r>
          </w:p>
        </w:tc>
        <w:tc>
          <w:tcPr>
            <w:tcW w:w="4738" w:type="dxa"/>
          </w:tcPr>
          <w:p w14:paraId="30B3D007" w14:textId="46E45075" w:rsidR="00AE2A28" w:rsidRDefault="0089191C" w:rsidP="0089191C">
            <w:pPr>
              <w:pStyle w:val="Tablebullet"/>
              <w:cnfStyle w:val="000000100000" w:firstRow="0" w:lastRow="0" w:firstColumn="0" w:lastColumn="0" w:oddVBand="0" w:evenVBand="0" w:oddHBand="1" w:evenHBand="0" w:firstRowFirstColumn="0" w:firstRowLastColumn="0" w:lastRowFirstColumn="0" w:lastRowLastColumn="0"/>
            </w:pPr>
            <w:r w:rsidRPr="0089191C">
              <w:t>Data governance policies that define acceptable data sources and usage</w:t>
            </w:r>
            <w:r w:rsidR="00AE2A28">
              <w:t>.</w:t>
            </w:r>
          </w:p>
          <w:p w14:paraId="2D08EF57" w14:textId="74FCEC47" w:rsidR="00AE2A28" w:rsidRDefault="00602DA1" w:rsidP="00E51820">
            <w:pPr>
              <w:pStyle w:val="Tablebullet"/>
              <w:cnfStyle w:val="000000100000" w:firstRow="0" w:lastRow="0" w:firstColumn="0" w:lastColumn="0" w:oddVBand="0" w:evenVBand="0" w:oddHBand="1" w:evenHBand="0" w:firstRowFirstColumn="0" w:firstRowLastColumn="0" w:lastRowFirstColumn="0" w:lastRowLastColumn="0"/>
            </w:pPr>
            <w:r>
              <w:t xml:space="preserve">Regularly check </w:t>
            </w:r>
            <w:r w:rsidR="00AE2A28">
              <w:t xml:space="preserve">the </w:t>
            </w:r>
            <w:r>
              <w:t xml:space="preserve">completeness, </w:t>
            </w:r>
            <w:r w:rsidR="00AE2A28">
              <w:t>accuracy and reliability of data.</w:t>
            </w:r>
          </w:p>
          <w:p w14:paraId="32A92BF8" w14:textId="623242C0" w:rsidR="00AE2A28" w:rsidRDefault="00AE2A28" w:rsidP="00E51820">
            <w:pPr>
              <w:pStyle w:val="Tablebullet"/>
              <w:cnfStyle w:val="000000100000" w:firstRow="0" w:lastRow="0" w:firstColumn="0" w:lastColumn="0" w:oddVBand="0" w:evenVBand="0" w:oddHBand="1" w:evenHBand="0" w:firstRowFirstColumn="0" w:firstRowLastColumn="0" w:lastRowFirstColumn="0" w:lastRowLastColumn="0"/>
            </w:pPr>
            <w:r>
              <w:t>Define specific data quality dimensions, including completeness, accuracy, veracity, update frequency, and representativeness of the target population.</w:t>
            </w:r>
          </w:p>
          <w:p w14:paraId="4A87D159" w14:textId="77AD395F" w:rsidR="00B50E95" w:rsidRPr="0028723F" w:rsidRDefault="00AE2A28" w:rsidP="00E51820">
            <w:pPr>
              <w:pStyle w:val="Tablebullet"/>
              <w:cnfStyle w:val="000000100000" w:firstRow="0" w:lastRow="0" w:firstColumn="0" w:lastColumn="0" w:oddVBand="0" w:evenVBand="0" w:oddHBand="1" w:evenHBand="0" w:firstRowFirstColumn="0" w:firstRowLastColumn="0" w:lastRowFirstColumn="0" w:lastRowLastColumn="0"/>
            </w:pPr>
            <w:r>
              <w:t xml:space="preserve">Document data consent and lineage to track the origin of data, how it is used, and to confirm that all necessary permissions have been </w:t>
            </w:r>
            <w:r w:rsidR="006F51F6">
              <w:t>obtained.</w:t>
            </w:r>
          </w:p>
        </w:tc>
      </w:tr>
      <w:tr w:rsidR="00B50E95" w:rsidRPr="0028723F" w14:paraId="0DC9C826" w14:textId="77777777" w:rsidTr="002C40BD">
        <w:tc>
          <w:tcPr>
            <w:cnfStyle w:val="001000000000" w:firstRow="0" w:lastRow="0" w:firstColumn="1" w:lastColumn="0" w:oddVBand="0" w:evenVBand="0" w:oddHBand="0" w:evenHBand="0" w:firstRowFirstColumn="0" w:firstRowLastColumn="0" w:lastRowFirstColumn="0" w:lastRowLastColumn="0"/>
            <w:tcW w:w="1747" w:type="dxa"/>
          </w:tcPr>
          <w:p w14:paraId="11B4FAFE" w14:textId="36481D12" w:rsidR="00B50E95" w:rsidRPr="00C80C9D" w:rsidRDefault="00B50E95" w:rsidP="004E7166">
            <w:pPr>
              <w:jc w:val="left"/>
              <w:rPr>
                <w:sz w:val="18"/>
                <w:szCs w:val="18"/>
              </w:rPr>
            </w:pPr>
            <w:r w:rsidRPr="00C80C9D">
              <w:rPr>
                <w:sz w:val="18"/>
                <w:szCs w:val="18"/>
              </w:rPr>
              <w:t>Model development and training</w:t>
            </w:r>
          </w:p>
        </w:tc>
        <w:tc>
          <w:tcPr>
            <w:tcW w:w="2926" w:type="dxa"/>
          </w:tcPr>
          <w:p w14:paraId="50C6E577" w14:textId="7FA2450C" w:rsidR="005F7DFA" w:rsidRDefault="00E07E37" w:rsidP="00E51820">
            <w:pPr>
              <w:pStyle w:val="Tablebullet"/>
              <w:cnfStyle w:val="000000000000" w:firstRow="0" w:lastRow="0" w:firstColumn="0" w:lastColumn="0" w:oddVBand="0" w:evenVBand="0" w:oddHBand="0" w:evenHBand="0" w:firstRowFirstColumn="0" w:firstRowLastColumn="0" w:lastRowFirstColumn="0" w:lastRowLastColumn="0"/>
            </w:pPr>
            <w:r w:rsidRPr="00BC77F3">
              <w:t xml:space="preserve">Unintended bias in </w:t>
            </w:r>
            <w:r w:rsidR="0086702B">
              <w:t xml:space="preserve">the </w:t>
            </w:r>
            <w:r w:rsidRPr="00BC77F3">
              <w:t>algorithm</w:t>
            </w:r>
            <w:r w:rsidR="005F7DFA">
              <w:t>.</w:t>
            </w:r>
          </w:p>
          <w:p w14:paraId="5DF4167A" w14:textId="795DE29D" w:rsidR="004731CF" w:rsidRPr="0028723F" w:rsidRDefault="00E07E37" w:rsidP="00E51820">
            <w:pPr>
              <w:pStyle w:val="Tablebullet"/>
              <w:cnfStyle w:val="000000000000" w:firstRow="0" w:lastRow="0" w:firstColumn="0" w:lastColumn="0" w:oddVBand="0" w:evenVBand="0" w:oddHBand="0" w:evenHBand="0" w:firstRowFirstColumn="0" w:firstRowLastColumn="0" w:lastRowFirstColumn="0" w:lastRowLastColumn="0"/>
            </w:pPr>
            <w:r w:rsidRPr="00BC77F3">
              <w:t>Difficulty understanding how the model makes decisions</w:t>
            </w:r>
            <w:r w:rsidR="005F7DFA">
              <w:t>.</w:t>
            </w:r>
          </w:p>
          <w:p w14:paraId="2C561EBE" w14:textId="77777777" w:rsidR="00B50E95" w:rsidRDefault="004731CF" w:rsidP="00E51820">
            <w:pPr>
              <w:pStyle w:val="Tablebullet"/>
              <w:cnfStyle w:val="000000000000" w:firstRow="0" w:lastRow="0" w:firstColumn="0" w:lastColumn="0" w:oddVBand="0" w:evenVBand="0" w:oddHBand="0" w:evenHBand="0" w:firstRowFirstColumn="0" w:firstRowLastColumn="0" w:lastRowFirstColumn="0" w:lastRowLastColumn="0"/>
            </w:pPr>
            <w:r w:rsidRPr="0028723F">
              <w:t>S</w:t>
            </w:r>
            <w:r w:rsidR="00B50E95" w:rsidRPr="0028723F">
              <w:t>ecurity vulnerabilities</w:t>
            </w:r>
            <w:r w:rsidR="00E07E37">
              <w:t xml:space="preserve"> that could be </w:t>
            </w:r>
            <w:r w:rsidR="005F7DFA">
              <w:t>exploited</w:t>
            </w:r>
            <w:r w:rsidR="00E07E37">
              <w:t>.</w:t>
            </w:r>
          </w:p>
          <w:p w14:paraId="670DA269" w14:textId="4B7EE919" w:rsidR="00E20DAE" w:rsidRPr="00BC77F3" w:rsidRDefault="003E56FC" w:rsidP="00E51820">
            <w:pPr>
              <w:pStyle w:val="Tablebullet"/>
              <w:cnfStyle w:val="000000000000" w:firstRow="0" w:lastRow="0" w:firstColumn="0" w:lastColumn="0" w:oddVBand="0" w:evenVBand="0" w:oddHBand="0" w:evenHBand="0" w:firstRowFirstColumn="0" w:firstRowLastColumn="0" w:lastRowFirstColumn="0" w:lastRowLastColumn="0"/>
            </w:pPr>
            <w:r>
              <w:t>Hallucination, response relevance, toxicity</w:t>
            </w:r>
            <w:r w:rsidR="006E22BA">
              <w:t xml:space="preserve">, jailbreaking </w:t>
            </w:r>
            <w:r w:rsidR="000E5804">
              <w:t xml:space="preserve">and model </w:t>
            </w:r>
            <w:r w:rsidR="000E5804">
              <w:lastRenderedPageBreak/>
              <w:t xml:space="preserve">inversion </w:t>
            </w:r>
            <w:r w:rsidR="006E22BA">
              <w:t>in generative AI models</w:t>
            </w:r>
            <w:r w:rsidR="006F51F6">
              <w:t>.</w:t>
            </w:r>
            <w:r w:rsidR="006E22BA">
              <w:t xml:space="preserve"> </w:t>
            </w:r>
          </w:p>
        </w:tc>
        <w:tc>
          <w:tcPr>
            <w:tcW w:w="4738" w:type="dxa"/>
          </w:tcPr>
          <w:p w14:paraId="75CA372F" w14:textId="4D916E0E" w:rsidR="000831AC" w:rsidRPr="000831AC" w:rsidRDefault="000831AC" w:rsidP="00E51820">
            <w:pPr>
              <w:pStyle w:val="Tablebullet"/>
              <w:cnfStyle w:val="000000000000" w:firstRow="0" w:lastRow="0" w:firstColumn="0" w:lastColumn="0" w:oddVBand="0" w:evenVBand="0" w:oddHBand="0" w:evenHBand="0" w:firstRowFirstColumn="0" w:firstRowLastColumn="0" w:lastRowFirstColumn="0" w:lastRowLastColumn="0"/>
            </w:pPr>
            <w:r w:rsidRPr="000831AC">
              <w:lastRenderedPageBreak/>
              <w:t xml:space="preserve">Implement bias detection measures to identify and </w:t>
            </w:r>
            <w:r w:rsidRPr="00986E4F">
              <w:t>address unintended biases in the model</w:t>
            </w:r>
            <w:r w:rsidR="0042127E" w:rsidRPr="00986E4F">
              <w:t xml:space="preserve"> </w:t>
            </w:r>
            <w:r w:rsidR="00986E4F" w:rsidRPr="00986E4F">
              <w:t xml:space="preserve">by </w:t>
            </w:r>
            <w:r w:rsidR="0042127E" w:rsidRPr="00986E4F">
              <w:t xml:space="preserve">using metrics such as </w:t>
            </w:r>
            <w:r w:rsidR="00986E4F" w:rsidRPr="00986E4F">
              <w:t>d</w:t>
            </w:r>
            <w:r w:rsidR="0042127E" w:rsidRPr="00986E4F">
              <w:t xml:space="preserve">emographic </w:t>
            </w:r>
            <w:r w:rsidR="00986E4F" w:rsidRPr="00986E4F">
              <w:t>p</w:t>
            </w:r>
            <w:r w:rsidR="0042127E" w:rsidRPr="00986E4F">
              <w:t xml:space="preserve">arity, </w:t>
            </w:r>
            <w:r w:rsidR="00F72DA5">
              <w:t>equalised</w:t>
            </w:r>
            <w:r w:rsidR="0042127E" w:rsidRPr="00986E4F">
              <w:t xml:space="preserve"> </w:t>
            </w:r>
            <w:r w:rsidR="00986E4F" w:rsidRPr="00986E4F">
              <w:t>o</w:t>
            </w:r>
            <w:r w:rsidR="0042127E" w:rsidRPr="00986E4F">
              <w:t xml:space="preserve">dds, and </w:t>
            </w:r>
            <w:r w:rsidR="00986E4F" w:rsidRPr="00986E4F">
              <w:t>r</w:t>
            </w:r>
            <w:r w:rsidR="0042127E" w:rsidRPr="00986E4F">
              <w:t xml:space="preserve">isk </w:t>
            </w:r>
            <w:r w:rsidR="00986E4F" w:rsidRPr="00986E4F">
              <w:t>r</w:t>
            </w:r>
            <w:r w:rsidR="0042127E" w:rsidRPr="00986E4F">
              <w:t>atios</w:t>
            </w:r>
            <w:r w:rsidR="00986E4F">
              <w:t>.</w:t>
            </w:r>
          </w:p>
          <w:p w14:paraId="69B3FBDC" w14:textId="14906481" w:rsidR="000831AC" w:rsidRPr="000831AC" w:rsidRDefault="000831AC" w:rsidP="00E51820">
            <w:pPr>
              <w:pStyle w:val="Tablebullet"/>
              <w:cnfStyle w:val="000000000000" w:firstRow="0" w:lastRow="0" w:firstColumn="0" w:lastColumn="0" w:oddVBand="0" w:evenVBand="0" w:oddHBand="0" w:evenHBand="0" w:firstRowFirstColumn="0" w:firstRowLastColumn="0" w:lastRowFirstColumn="0" w:lastRowLastColumn="0"/>
            </w:pPr>
            <w:r w:rsidRPr="000831AC">
              <w:t xml:space="preserve">Apply explainability frameworks to ensure the model’s decisions can be understood and explained. </w:t>
            </w:r>
          </w:p>
          <w:p w14:paraId="38D21571" w14:textId="4FE12F4F" w:rsidR="000831AC" w:rsidRPr="000831AC" w:rsidRDefault="000831AC" w:rsidP="00E51820">
            <w:pPr>
              <w:pStyle w:val="Tablebullet"/>
              <w:cnfStyle w:val="000000000000" w:firstRow="0" w:lastRow="0" w:firstColumn="0" w:lastColumn="0" w:oddVBand="0" w:evenVBand="0" w:oddHBand="0" w:evenHBand="0" w:firstRowFirstColumn="0" w:firstRowLastColumn="0" w:lastRowFirstColumn="0" w:lastRowLastColumn="0"/>
            </w:pPr>
            <w:r w:rsidRPr="000831AC">
              <w:t>Enforce access controls so only authorised</w:t>
            </w:r>
            <w:r w:rsidR="00FC0231">
              <w:t>.</w:t>
            </w:r>
            <w:r w:rsidRPr="000831AC">
              <w:t xml:space="preserve"> individuals can modify or interact with the model. </w:t>
            </w:r>
          </w:p>
          <w:p w14:paraId="111C8292" w14:textId="24F0E49B" w:rsidR="004B2675" w:rsidRPr="0028723F" w:rsidRDefault="00340A8C" w:rsidP="00E51820">
            <w:pPr>
              <w:pStyle w:val="Tablebullet"/>
              <w:cnfStyle w:val="000000000000" w:firstRow="0" w:lastRow="0" w:firstColumn="0" w:lastColumn="0" w:oddVBand="0" w:evenVBand="0" w:oddHBand="0" w:evenHBand="0" w:firstRowFirstColumn="0" w:firstRowLastColumn="0" w:lastRowFirstColumn="0" w:lastRowLastColumn="0"/>
            </w:pPr>
            <w:r>
              <w:lastRenderedPageBreak/>
              <w:t xml:space="preserve">Encrypt sensitive data </w:t>
            </w:r>
            <w:r w:rsidR="000831AC" w:rsidRPr="000831AC">
              <w:t>throughout the model’s lifecycle.</w:t>
            </w:r>
          </w:p>
        </w:tc>
      </w:tr>
      <w:tr w:rsidR="00B50E95" w:rsidRPr="0028723F" w14:paraId="53458219" w14:textId="77777777" w:rsidTr="002C40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tcPr>
          <w:p w14:paraId="11101A9F" w14:textId="13A304D2" w:rsidR="00B50E95" w:rsidRPr="00C80C9D" w:rsidRDefault="00B50E95" w:rsidP="004E7166">
            <w:pPr>
              <w:jc w:val="left"/>
              <w:rPr>
                <w:sz w:val="18"/>
                <w:szCs w:val="18"/>
              </w:rPr>
            </w:pPr>
            <w:r w:rsidRPr="00C80C9D">
              <w:rPr>
                <w:sz w:val="18"/>
                <w:szCs w:val="18"/>
              </w:rPr>
              <w:lastRenderedPageBreak/>
              <w:t>Validation and testing</w:t>
            </w:r>
          </w:p>
        </w:tc>
        <w:tc>
          <w:tcPr>
            <w:tcW w:w="2926" w:type="dxa"/>
          </w:tcPr>
          <w:p w14:paraId="4AB45CA2" w14:textId="37A0E1C0" w:rsidR="002732BD" w:rsidRPr="002732BD" w:rsidRDefault="002732BD" w:rsidP="00E51820">
            <w:pPr>
              <w:pStyle w:val="Tablebullet"/>
              <w:cnfStyle w:val="000000100000" w:firstRow="0" w:lastRow="0" w:firstColumn="0" w:lastColumn="0" w:oddVBand="0" w:evenVBand="0" w:oddHBand="1" w:evenHBand="0" w:firstRowFirstColumn="0" w:firstRowLastColumn="0" w:lastRowFirstColumn="0" w:lastRowLastColumn="0"/>
            </w:pPr>
            <w:r w:rsidRPr="002732BD">
              <w:t xml:space="preserve">The model may overfit or underfit, meaning it could be too closely tailored to the training data or not capture the underlying patterns well enough. </w:t>
            </w:r>
          </w:p>
          <w:p w14:paraId="04527FB9" w14:textId="3137D734" w:rsidR="002732BD" w:rsidRPr="002732BD" w:rsidRDefault="00BD6A78" w:rsidP="00E51820">
            <w:pPr>
              <w:pStyle w:val="Tablebullet"/>
              <w:cnfStyle w:val="000000100000" w:firstRow="0" w:lastRow="0" w:firstColumn="0" w:lastColumn="0" w:oddVBand="0" w:evenVBand="0" w:oddHBand="1" w:evenHBand="0" w:firstRowFirstColumn="0" w:firstRowLastColumn="0" w:lastRowFirstColumn="0" w:lastRowLastColumn="0"/>
            </w:pPr>
            <w:r>
              <w:t>I</w:t>
            </w:r>
            <w:r w:rsidR="002732BD" w:rsidRPr="002732BD">
              <w:t xml:space="preserve">nadequate stress testing. </w:t>
            </w:r>
          </w:p>
          <w:p w14:paraId="31D9FDCF" w14:textId="0844AC06" w:rsidR="00B50E95" w:rsidRPr="0028723F" w:rsidRDefault="002732BD" w:rsidP="00E51820">
            <w:pPr>
              <w:pStyle w:val="Tablebullet"/>
              <w:cnfStyle w:val="000000100000" w:firstRow="0" w:lastRow="0" w:firstColumn="0" w:lastColumn="0" w:oddVBand="0" w:evenVBand="0" w:oddHBand="1" w:evenHBand="0" w:firstRowFirstColumn="0" w:firstRowLastColumn="0" w:lastRowFirstColumn="0" w:lastRowLastColumn="0"/>
            </w:pPr>
            <w:r w:rsidRPr="002732BD">
              <w:t>The model could make incorrect decisions</w:t>
            </w:r>
            <w:r w:rsidR="00BD6A78">
              <w:t>.</w:t>
            </w:r>
          </w:p>
        </w:tc>
        <w:tc>
          <w:tcPr>
            <w:tcW w:w="4738" w:type="dxa"/>
          </w:tcPr>
          <w:p w14:paraId="073534E1" w14:textId="0EF40B5A" w:rsidR="00A34DD5" w:rsidRPr="00A34DD5" w:rsidRDefault="00F60263" w:rsidP="00E51820">
            <w:pPr>
              <w:pStyle w:val="Tablebullet"/>
              <w:cnfStyle w:val="000000100000" w:firstRow="0" w:lastRow="0" w:firstColumn="0" w:lastColumn="0" w:oddVBand="0" w:evenVBand="0" w:oddHBand="1" w:evenHBand="0" w:firstRowFirstColumn="0" w:firstRowLastColumn="0" w:lastRowFirstColumn="0" w:lastRowLastColumn="0"/>
            </w:pPr>
            <w:r>
              <w:t>I</w:t>
            </w:r>
            <w:r w:rsidR="00A34DD5" w:rsidRPr="00A34DD5">
              <w:t xml:space="preserve">ndependent validation of the model to ensure its accuracy and reliability. </w:t>
            </w:r>
          </w:p>
          <w:p w14:paraId="1F3A4CAB" w14:textId="43643B29" w:rsidR="00A34DD5" w:rsidRPr="00A34DD5" w:rsidRDefault="00A34DD5" w:rsidP="00E51820">
            <w:pPr>
              <w:pStyle w:val="Tablebullet"/>
              <w:cnfStyle w:val="000000100000" w:firstRow="0" w:lastRow="0" w:firstColumn="0" w:lastColumn="0" w:oddVBand="0" w:evenVBand="0" w:oddHBand="1" w:evenHBand="0" w:firstRowFirstColumn="0" w:firstRowLastColumn="0" w:lastRowFirstColumn="0" w:lastRowLastColumn="0"/>
            </w:pPr>
            <w:r w:rsidRPr="00A34DD5">
              <w:t xml:space="preserve">Test the model using a variety of datasets to confirm it performs well across different scenarios. </w:t>
            </w:r>
          </w:p>
          <w:p w14:paraId="12EAC2F2" w14:textId="6CF2A7FA" w:rsidR="00B50E95" w:rsidRPr="0028723F" w:rsidRDefault="00A34DD5" w:rsidP="00E51820">
            <w:pPr>
              <w:pStyle w:val="Tablebullet"/>
              <w:cnfStyle w:val="000000100000" w:firstRow="0" w:lastRow="0" w:firstColumn="0" w:lastColumn="0" w:oddVBand="0" w:evenVBand="0" w:oddHBand="1" w:evenHBand="0" w:firstRowFirstColumn="0" w:firstRowLastColumn="0" w:lastRowFirstColumn="0" w:lastRowLastColumn="0"/>
            </w:pPr>
            <w:r w:rsidRPr="00A34DD5">
              <w:t>Keep thorough documentation of validation results and ensure they are formally approved.</w:t>
            </w:r>
          </w:p>
        </w:tc>
      </w:tr>
      <w:tr w:rsidR="00B50E95" w:rsidRPr="0028723F" w14:paraId="1140B8A1" w14:textId="77777777" w:rsidTr="002C40BD">
        <w:tc>
          <w:tcPr>
            <w:cnfStyle w:val="001000000000" w:firstRow="0" w:lastRow="0" w:firstColumn="1" w:lastColumn="0" w:oddVBand="0" w:evenVBand="0" w:oddHBand="0" w:evenHBand="0" w:firstRowFirstColumn="0" w:firstRowLastColumn="0" w:lastRowFirstColumn="0" w:lastRowLastColumn="0"/>
            <w:tcW w:w="1747" w:type="dxa"/>
          </w:tcPr>
          <w:p w14:paraId="2C9CDE29" w14:textId="496333CF" w:rsidR="00B50E95" w:rsidRPr="00C80C9D" w:rsidRDefault="00B50E95" w:rsidP="004E7166">
            <w:pPr>
              <w:jc w:val="left"/>
              <w:rPr>
                <w:sz w:val="18"/>
                <w:szCs w:val="18"/>
              </w:rPr>
            </w:pPr>
            <w:r w:rsidRPr="00C80C9D">
              <w:rPr>
                <w:sz w:val="18"/>
                <w:szCs w:val="18"/>
              </w:rPr>
              <w:t>Deployment and release</w:t>
            </w:r>
          </w:p>
        </w:tc>
        <w:tc>
          <w:tcPr>
            <w:tcW w:w="2926" w:type="dxa"/>
          </w:tcPr>
          <w:p w14:paraId="57BEADFD" w14:textId="77777777" w:rsidR="00320C94" w:rsidRDefault="00320C94" w:rsidP="00E51820">
            <w:pPr>
              <w:pStyle w:val="Tablebullet"/>
              <w:cnfStyle w:val="000000000000" w:firstRow="0" w:lastRow="0" w:firstColumn="0" w:lastColumn="0" w:oddVBand="0" w:evenVBand="0" w:oddHBand="0" w:evenHBand="0" w:firstRowFirstColumn="0" w:firstRowLastColumn="0" w:lastRowFirstColumn="0" w:lastRowLastColumn="0"/>
            </w:pPr>
            <w:r w:rsidRPr="00320C94">
              <w:t>The risk of integration failures disrupting business processes</w:t>
            </w:r>
            <w:r>
              <w:t>.</w:t>
            </w:r>
          </w:p>
          <w:p w14:paraId="14F33F9D" w14:textId="3CFAF6DA" w:rsidR="004731CF" w:rsidRPr="0028723F" w:rsidRDefault="004731CF" w:rsidP="00E51820">
            <w:pPr>
              <w:pStyle w:val="Tablebullet"/>
              <w:cnfStyle w:val="000000000000" w:firstRow="0" w:lastRow="0" w:firstColumn="0" w:lastColumn="0" w:oddVBand="0" w:evenVBand="0" w:oddHBand="0" w:evenHBand="0" w:firstRowFirstColumn="0" w:firstRowLastColumn="0" w:lastRowFirstColumn="0" w:lastRowLastColumn="0"/>
            </w:pPr>
            <w:r w:rsidRPr="0028723F">
              <w:t>I</w:t>
            </w:r>
            <w:r w:rsidR="00B50E95" w:rsidRPr="0028723F">
              <w:t>nsufficient monitoring</w:t>
            </w:r>
            <w:r w:rsidR="00D713A2">
              <w:t>, allowing issues to go undetected.</w:t>
            </w:r>
          </w:p>
          <w:p w14:paraId="1903A603" w14:textId="07A8F12A" w:rsidR="00B50E95" w:rsidRPr="0028723F" w:rsidRDefault="004E7166" w:rsidP="00E51820">
            <w:pPr>
              <w:pStyle w:val="Tablebullet"/>
              <w:cnfStyle w:val="000000000000" w:firstRow="0" w:lastRow="0" w:firstColumn="0" w:lastColumn="0" w:oddVBand="0" w:evenVBand="0" w:oddHBand="0" w:evenHBand="0" w:firstRowFirstColumn="0" w:firstRowLastColumn="0" w:lastRowFirstColumn="0" w:lastRowLastColumn="0"/>
            </w:pPr>
            <w:r w:rsidRPr="004E7166">
              <w:t>Compromised integrity of the model or its outputs</w:t>
            </w:r>
            <w:r>
              <w:t>.</w:t>
            </w:r>
          </w:p>
        </w:tc>
        <w:tc>
          <w:tcPr>
            <w:tcW w:w="4738" w:type="dxa"/>
          </w:tcPr>
          <w:p w14:paraId="232E3DDF" w14:textId="77777777" w:rsidR="00A40A6D" w:rsidRDefault="00461DFC" w:rsidP="00E51820">
            <w:pPr>
              <w:pStyle w:val="Tablebullet"/>
              <w:cnfStyle w:val="000000000000" w:firstRow="0" w:lastRow="0" w:firstColumn="0" w:lastColumn="0" w:oddVBand="0" w:evenVBand="0" w:oddHBand="0" w:evenHBand="0" w:firstRowFirstColumn="0" w:firstRowLastColumn="0" w:lastRowFirstColumn="0" w:lastRowLastColumn="0"/>
            </w:pPr>
            <w:r w:rsidRPr="00461DFC">
              <w:t>Use deployment checklists to ensure all necessary steps are completed before going live.</w:t>
            </w:r>
          </w:p>
          <w:p w14:paraId="06883B52" w14:textId="3976F1FD" w:rsidR="00A40A6D" w:rsidRPr="00A40A6D" w:rsidRDefault="00A40A6D" w:rsidP="00E51820">
            <w:pPr>
              <w:pStyle w:val="Tablebullet"/>
              <w:cnfStyle w:val="000000000000" w:firstRow="0" w:lastRow="0" w:firstColumn="0" w:lastColumn="0" w:oddVBand="0" w:evenVBand="0" w:oddHBand="0" w:evenHBand="0" w:firstRowFirstColumn="0" w:firstRowLastColumn="0" w:lastRowFirstColumn="0" w:lastRowLastColumn="0"/>
            </w:pPr>
            <w:r w:rsidRPr="00A40A6D">
              <w:t xml:space="preserve">Implement real-time monitoring to quickly detect and address any issues after deployment. </w:t>
            </w:r>
          </w:p>
          <w:p w14:paraId="3C046FC5" w14:textId="044BDC42" w:rsidR="00B50E95" w:rsidRPr="0028723F" w:rsidRDefault="00A40A6D" w:rsidP="00E51820">
            <w:pPr>
              <w:pStyle w:val="Tablebullet"/>
              <w:cnfStyle w:val="000000000000" w:firstRow="0" w:lastRow="0" w:firstColumn="0" w:lastColumn="0" w:oddVBand="0" w:evenVBand="0" w:oddHBand="0" w:evenHBand="0" w:firstRowFirstColumn="0" w:firstRowLastColumn="0" w:lastRowFirstColumn="0" w:lastRowLastColumn="0"/>
            </w:pPr>
            <w:r w:rsidRPr="00A40A6D">
              <w:t>Apply role-based access controls so only authorised personnel can make changes to the model or its environment.</w:t>
            </w:r>
          </w:p>
        </w:tc>
      </w:tr>
      <w:tr w:rsidR="00B50E95" w:rsidRPr="0028723F" w14:paraId="2513A13C" w14:textId="77777777" w:rsidTr="002C40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tcPr>
          <w:p w14:paraId="7AF7A6B7" w14:textId="57EE85B7" w:rsidR="00B50E95" w:rsidRPr="00C80C9D" w:rsidRDefault="00B50E95" w:rsidP="004E7166">
            <w:pPr>
              <w:jc w:val="left"/>
              <w:rPr>
                <w:sz w:val="18"/>
                <w:szCs w:val="18"/>
              </w:rPr>
            </w:pPr>
            <w:r w:rsidRPr="00C80C9D">
              <w:rPr>
                <w:sz w:val="18"/>
                <w:szCs w:val="18"/>
              </w:rPr>
              <w:t>Monitoring and maintenance</w:t>
            </w:r>
          </w:p>
        </w:tc>
        <w:tc>
          <w:tcPr>
            <w:tcW w:w="2926" w:type="dxa"/>
          </w:tcPr>
          <w:p w14:paraId="1CE12911" w14:textId="5EC13A06" w:rsidR="004731CF" w:rsidRPr="0028723F" w:rsidRDefault="00B50E95" w:rsidP="00E51820">
            <w:pPr>
              <w:pStyle w:val="Tablebullet"/>
              <w:cnfStyle w:val="000000100000" w:firstRow="0" w:lastRow="0" w:firstColumn="0" w:lastColumn="0" w:oddVBand="0" w:evenVBand="0" w:oddHBand="1" w:evenHBand="0" w:firstRowFirstColumn="0" w:firstRowLastColumn="0" w:lastRowFirstColumn="0" w:lastRowLastColumn="0"/>
            </w:pPr>
            <w:r w:rsidRPr="0028723F">
              <w:t>Model drift</w:t>
            </w:r>
            <w:r w:rsidR="006F51F6">
              <w:t>.</w:t>
            </w:r>
          </w:p>
          <w:p w14:paraId="3C6C2A22" w14:textId="77777777" w:rsidR="004731CF" w:rsidRPr="0028723F" w:rsidRDefault="004731CF" w:rsidP="00E51820">
            <w:pPr>
              <w:pStyle w:val="Tablebullet"/>
              <w:cnfStyle w:val="000000100000" w:firstRow="0" w:lastRow="0" w:firstColumn="0" w:lastColumn="0" w:oddVBand="0" w:evenVBand="0" w:oddHBand="1" w:evenHBand="0" w:firstRowFirstColumn="0" w:firstRowLastColumn="0" w:lastRowFirstColumn="0" w:lastRowLastColumn="0"/>
            </w:pPr>
            <w:r w:rsidRPr="0028723F">
              <w:t>R</w:t>
            </w:r>
            <w:r w:rsidR="00B50E95" w:rsidRPr="0028723F">
              <w:t>egulatory non-compliance</w:t>
            </w:r>
          </w:p>
          <w:p w14:paraId="6F9D497C" w14:textId="3C383665" w:rsidR="00D9041A" w:rsidRPr="00D9041A" w:rsidRDefault="00D9041A" w:rsidP="00E51820">
            <w:pPr>
              <w:pStyle w:val="Tablebullet"/>
              <w:cnfStyle w:val="000000100000" w:firstRow="0" w:lastRow="0" w:firstColumn="0" w:lastColumn="0" w:oddVBand="0" w:evenVBand="0" w:oddHBand="1" w:evenHBand="0" w:firstRowFirstColumn="0" w:firstRowLastColumn="0" w:lastRowFirstColumn="0" w:lastRowLastColumn="0"/>
            </w:pPr>
            <w:r w:rsidRPr="00D9041A">
              <w:t xml:space="preserve">Operational outages could disrupt business processes. </w:t>
            </w:r>
          </w:p>
          <w:p w14:paraId="09C3BD75" w14:textId="3DB36A38" w:rsidR="007818CA" w:rsidRPr="0028723F" w:rsidRDefault="00D9041A" w:rsidP="00E51820">
            <w:pPr>
              <w:pStyle w:val="Tablebullet"/>
              <w:cnfStyle w:val="000000100000" w:firstRow="0" w:lastRow="0" w:firstColumn="0" w:lastColumn="0" w:oddVBand="0" w:evenVBand="0" w:oddHBand="1" w:evenHBand="0" w:firstRowFirstColumn="0" w:firstRowLastColumn="0" w:lastRowFirstColumn="0" w:lastRowLastColumn="0"/>
            </w:pPr>
            <w:r w:rsidRPr="00D9041A">
              <w:t>Incident response procedures may be ineffective, resulting in delayed or inadequate handling of issues.</w:t>
            </w:r>
          </w:p>
        </w:tc>
        <w:tc>
          <w:tcPr>
            <w:tcW w:w="4738" w:type="dxa"/>
          </w:tcPr>
          <w:p w14:paraId="34F95BDD" w14:textId="77777777" w:rsidR="00DA3ADC" w:rsidRDefault="00DA3ADC" w:rsidP="00E51820">
            <w:pPr>
              <w:pStyle w:val="Tablebullet"/>
              <w:cnfStyle w:val="000000100000" w:firstRow="0" w:lastRow="0" w:firstColumn="0" w:lastColumn="0" w:oddVBand="0" w:evenVBand="0" w:oddHBand="1" w:evenHBand="0" w:firstRowFirstColumn="0" w:firstRowLastColumn="0" w:lastRowFirstColumn="0" w:lastRowLastColumn="0"/>
            </w:pPr>
            <w:r>
              <w:t xml:space="preserve">Implement </w:t>
            </w:r>
            <w:r w:rsidRPr="00DA3ADC">
              <w:t xml:space="preserve">continuous monitoring to track the model’s performance and detect issues as they arise. </w:t>
            </w:r>
          </w:p>
          <w:p w14:paraId="689D352F" w14:textId="7C624BD9" w:rsidR="00EE1E67" w:rsidRDefault="00EE1E67" w:rsidP="00E51820">
            <w:pPr>
              <w:pStyle w:val="Tablebullet"/>
              <w:cnfStyle w:val="000000100000" w:firstRow="0" w:lastRow="0" w:firstColumn="0" w:lastColumn="0" w:oddVBand="0" w:evenVBand="0" w:oddHBand="1" w:evenHBand="0" w:firstRowFirstColumn="0" w:firstRowLastColumn="0" w:lastRowFirstColumn="0" w:lastRowLastColumn="0"/>
            </w:pPr>
            <w:r>
              <w:t>Set and monitor model drift thresholds</w:t>
            </w:r>
            <w:r w:rsidR="00113BB3">
              <w:t xml:space="preserve"> and tolerance levels that trigger off-cycle model reviews and </w:t>
            </w:r>
            <w:r w:rsidR="00C80FA9">
              <w:t>corrective action</w:t>
            </w:r>
            <w:r w:rsidR="00D51269">
              <w:t>.</w:t>
            </w:r>
          </w:p>
          <w:p w14:paraId="48D9163F" w14:textId="77777777" w:rsidR="00B14795" w:rsidRDefault="00B14795" w:rsidP="00E51820">
            <w:pPr>
              <w:pStyle w:val="Tablebullet"/>
              <w:cnfStyle w:val="000000100000" w:firstRow="0" w:lastRow="0" w:firstColumn="0" w:lastColumn="0" w:oddVBand="0" w:evenVBand="0" w:oddHBand="1" w:evenHBand="0" w:firstRowFirstColumn="0" w:firstRowLastColumn="0" w:lastRowFirstColumn="0" w:lastRowLastColumn="0"/>
            </w:pPr>
            <w:r w:rsidRPr="00B14795">
              <w:t xml:space="preserve">Schedule regular reviews to assess the model’s effectiveness and compliance. </w:t>
            </w:r>
          </w:p>
          <w:p w14:paraId="2C409575" w14:textId="77777777" w:rsidR="00B14795" w:rsidRDefault="00B14795" w:rsidP="00E51820">
            <w:pPr>
              <w:pStyle w:val="Tablebullet"/>
              <w:cnfStyle w:val="000000100000" w:firstRow="0" w:lastRow="0" w:firstColumn="0" w:lastColumn="0" w:oddVBand="0" w:evenVBand="0" w:oddHBand="1" w:evenHBand="0" w:firstRowFirstColumn="0" w:firstRowLastColumn="0" w:lastRowFirstColumn="0" w:lastRowLastColumn="0"/>
            </w:pPr>
            <w:r w:rsidRPr="00B14795">
              <w:t xml:space="preserve">Ensure there is human oversight so that critical decisions can be reviewed and challenged when necessary. </w:t>
            </w:r>
          </w:p>
          <w:p w14:paraId="3547F876" w14:textId="2C438120" w:rsidR="00B50E95" w:rsidRPr="0028723F" w:rsidRDefault="00036E59" w:rsidP="00E51820">
            <w:pPr>
              <w:pStyle w:val="Tablebullet"/>
              <w:cnfStyle w:val="000000100000" w:firstRow="0" w:lastRow="0" w:firstColumn="0" w:lastColumn="0" w:oddVBand="0" w:evenVBand="0" w:oddHBand="1" w:evenHBand="0" w:firstRowFirstColumn="0" w:firstRowLastColumn="0" w:lastRowFirstColumn="0" w:lastRowLastColumn="0"/>
            </w:pPr>
            <w:r w:rsidRPr="00036E59">
              <w:t>Establish clear incident management procedures, including escalation paths, to respond promptly to any problems.</w:t>
            </w:r>
          </w:p>
        </w:tc>
      </w:tr>
      <w:tr w:rsidR="00B50E95" w:rsidRPr="0028723F" w14:paraId="6289390C" w14:textId="77777777" w:rsidTr="002C40BD">
        <w:tc>
          <w:tcPr>
            <w:cnfStyle w:val="001000000000" w:firstRow="0" w:lastRow="0" w:firstColumn="1" w:lastColumn="0" w:oddVBand="0" w:evenVBand="0" w:oddHBand="0" w:evenHBand="0" w:firstRowFirstColumn="0" w:firstRowLastColumn="0" w:lastRowFirstColumn="0" w:lastRowLastColumn="0"/>
            <w:tcW w:w="1747" w:type="dxa"/>
          </w:tcPr>
          <w:p w14:paraId="7D1D3084" w14:textId="05E82413" w:rsidR="00B50E95" w:rsidRPr="00C80C9D" w:rsidRDefault="00B50E95" w:rsidP="004E7166">
            <w:pPr>
              <w:jc w:val="left"/>
              <w:rPr>
                <w:sz w:val="18"/>
                <w:szCs w:val="18"/>
              </w:rPr>
            </w:pPr>
            <w:r w:rsidRPr="00C80C9D">
              <w:rPr>
                <w:sz w:val="18"/>
                <w:szCs w:val="18"/>
              </w:rPr>
              <w:t>Retirement and decommissioning</w:t>
            </w:r>
            <w:r w:rsidR="00A025A0">
              <w:rPr>
                <w:rStyle w:val="FootnoteReference"/>
                <w:sz w:val="18"/>
                <w:szCs w:val="18"/>
              </w:rPr>
              <w:footnoteReference w:id="3"/>
            </w:r>
          </w:p>
        </w:tc>
        <w:tc>
          <w:tcPr>
            <w:tcW w:w="2926" w:type="dxa"/>
          </w:tcPr>
          <w:p w14:paraId="1EC93AF0" w14:textId="4DAFFF76" w:rsidR="004751C1" w:rsidRDefault="004751C1" w:rsidP="00E51820">
            <w:pPr>
              <w:pStyle w:val="Tablebullet"/>
              <w:cnfStyle w:val="000000000000" w:firstRow="0" w:lastRow="0" w:firstColumn="0" w:lastColumn="0" w:oddVBand="0" w:evenVBand="0" w:oddHBand="0" w:evenHBand="0" w:firstRowFirstColumn="0" w:firstRowLastColumn="0" w:lastRowFirstColumn="0" w:lastRowLastColumn="0"/>
            </w:pPr>
            <w:r>
              <w:t>E</w:t>
            </w:r>
            <w:r w:rsidRPr="004751C1">
              <w:t>xposing residual data when models are retired or decommissioned</w:t>
            </w:r>
            <w:r w:rsidR="002E295B">
              <w:t>.</w:t>
            </w:r>
            <w:r w:rsidRPr="004751C1">
              <w:t xml:space="preserve"> </w:t>
            </w:r>
          </w:p>
          <w:p w14:paraId="63DB4138" w14:textId="69AA84A8" w:rsidR="00B50E95" w:rsidRPr="0028723F" w:rsidRDefault="002E295B" w:rsidP="00E51820">
            <w:pPr>
              <w:pStyle w:val="Tablebullet"/>
              <w:cnfStyle w:val="000000000000" w:firstRow="0" w:lastRow="0" w:firstColumn="0" w:lastColumn="0" w:oddVBand="0" w:evenVBand="0" w:oddHBand="0" w:evenHBand="0" w:firstRowFirstColumn="0" w:firstRowLastColumn="0" w:lastRowFirstColumn="0" w:lastRowLastColumn="0"/>
            </w:pPr>
            <w:r w:rsidRPr="002E295B">
              <w:t>Unplanned discontinuation of a model could disrupt business operations</w:t>
            </w:r>
            <w:r>
              <w:t>.</w:t>
            </w:r>
          </w:p>
        </w:tc>
        <w:tc>
          <w:tcPr>
            <w:tcW w:w="4738" w:type="dxa"/>
          </w:tcPr>
          <w:p w14:paraId="7FF56CE5" w14:textId="77777777" w:rsidR="0049363C" w:rsidRDefault="00082817" w:rsidP="00E51820">
            <w:pPr>
              <w:pStyle w:val="Tablebullet"/>
              <w:cnfStyle w:val="000000000000" w:firstRow="0" w:lastRow="0" w:firstColumn="0" w:lastColumn="0" w:oddVBand="0" w:evenVBand="0" w:oddHBand="0" w:evenHBand="0" w:firstRowFirstColumn="0" w:firstRowLastColumn="0" w:lastRowFirstColumn="0" w:lastRowLastColumn="0"/>
            </w:pPr>
            <w:r w:rsidRPr="00082817">
              <w:t>Develop and follow a formal decommissioning plan</w:t>
            </w:r>
            <w:r>
              <w:t>.</w:t>
            </w:r>
            <w:r w:rsidRPr="00082817">
              <w:t xml:space="preserve"> </w:t>
            </w:r>
          </w:p>
          <w:p w14:paraId="487726DC" w14:textId="520DE8DA" w:rsidR="007818CA" w:rsidRPr="0028723F" w:rsidRDefault="0049363C" w:rsidP="00E51820">
            <w:pPr>
              <w:pStyle w:val="Tablebullet"/>
              <w:cnfStyle w:val="000000000000" w:firstRow="0" w:lastRow="0" w:firstColumn="0" w:lastColumn="0" w:oddVBand="0" w:evenVBand="0" w:oddHBand="0" w:evenHBand="0" w:firstRowFirstColumn="0" w:firstRowLastColumn="0" w:lastRowFirstColumn="0" w:lastRowLastColumn="0"/>
            </w:pPr>
            <w:r w:rsidRPr="0049363C">
              <w:t>Ensure secure deletion of all data associated with the model</w:t>
            </w:r>
            <w:r w:rsidR="002C40BD">
              <w:t>.</w:t>
            </w:r>
          </w:p>
          <w:p w14:paraId="6D61F88D" w14:textId="34E05A69" w:rsidR="00B50E95" w:rsidRPr="0028723F" w:rsidRDefault="00556F25" w:rsidP="00E51820">
            <w:pPr>
              <w:pStyle w:val="Tablebullet"/>
              <w:cnfStyle w:val="000000000000" w:firstRow="0" w:lastRow="0" w:firstColumn="0" w:lastColumn="0" w:oddVBand="0" w:evenVBand="0" w:oddHBand="0" w:evenHBand="0" w:firstRowFirstColumn="0" w:firstRowLastColumn="0" w:lastRowFirstColumn="0" w:lastRowLastColumn="0"/>
            </w:pPr>
            <w:r w:rsidRPr="00556F25">
              <w:t>Maintain thorough transition documentation to support a smooth handover to new models or solutions.</w:t>
            </w:r>
          </w:p>
        </w:tc>
      </w:tr>
    </w:tbl>
    <w:p w14:paraId="00B037EE" w14:textId="77777777" w:rsidR="00671020" w:rsidRDefault="00671020" w:rsidP="00381299"/>
    <w:p w14:paraId="08823135" w14:textId="7F5751C5" w:rsidR="003C106E" w:rsidRPr="00381299" w:rsidRDefault="00015225" w:rsidP="00381299">
      <w:r>
        <w:t>The following c</w:t>
      </w:r>
      <w:r w:rsidR="00016271">
        <w:t>ritical enablers</w:t>
      </w:r>
      <w:r w:rsidR="00016271" w:rsidRPr="00016271">
        <w:t xml:space="preserve"> </w:t>
      </w:r>
      <w:r>
        <w:t>need to be implemented to support these controls</w:t>
      </w:r>
      <w:r w:rsidR="003C106E" w:rsidRPr="00381299">
        <w:t>:</w:t>
      </w:r>
    </w:p>
    <w:p w14:paraId="55A29392" w14:textId="2CF0B8AE" w:rsidR="000C0DDF" w:rsidRPr="00381299" w:rsidRDefault="00B2378C" w:rsidP="00381299">
      <w:r w:rsidRPr="00016271">
        <w:rPr>
          <w:b/>
          <w:bCs/>
        </w:rPr>
        <w:lastRenderedPageBreak/>
        <w:t>Formalised document</w:t>
      </w:r>
      <w:r w:rsidR="00015225">
        <w:rPr>
          <w:b/>
          <w:bCs/>
        </w:rPr>
        <w:t>ation</w:t>
      </w:r>
      <w:r w:rsidR="00B16A93">
        <w:t xml:space="preserve">, such as Model Cards and Fact Sheets, should be retained to ensure transparency of the model’s intended purpose, </w:t>
      </w:r>
      <w:r w:rsidR="00F0027A">
        <w:t xml:space="preserve">to outline the development process, to note the training motivations, metrics, and limitations, to detail the sources of training data, to explain the choice of algorithms, and to </w:t>
      </w:r>
      <w:r w:rsidR="000C0DDF" w:rsidRPr="00381299">
        <w:t xml:space="preserve">capture all significant design decisions. This </w:t>
      </w:r>
      <w:r w:rsidR="00042235" w:rsidRPr="00381299">
        <w:t xml:space="preserve">documentation </w:t>
      </w:r>
      <w:r w:rsidR="000C0DDF" w:rsidRPr="00381299">
        <w:t>should be updated regularly to account for any changes</w:t>
      </w:r>
      <w:r w:rsidR="00814E51" w:rsidRPr="00381299">
        <w:t>.</w:t>
      </w:r>
    </w:p>
    <w:p w14:paraId="6EAF5F97" w14:textId="5C46062D" w:rsidR="007B4C8D" w:rsidRDefault="00B2378C" w:rsidP="00381299">
      <w:r w:rsidRPr="00381299">
        <w:t>A</w:t>
      </w:r>
      <w:r w:rsidR="000C0DDF" w:rsidRPr="00381299">
        <w:t xml:space="preserve"> </w:t>
      </w:r>
      <w:r w:rsidR="000C0DDF" w:rsidRPr="00C80C9D">
        <w:rPr>
          <w:b/>
          <w:bCs/>
        </w:rPr>
        <w:t>detailed audit trail</w:t>
      </w:r>
      <w:r w:rsidR="000C0DDF" w:rsidRPr="00381299">
        <w:t xml:space="preserve"> </w:t>
      </w:r>
      <w:r w:rsidR="00362A66" w:rsidRPr="00381299">
        <w:t>support</w:t>
      </w:r>
      <w:r w:rsidR="00B52C21">
        <w:t>s</w:t>
      </w:r>
      <w:r w:rsidR="00362A66" w:rsidRPr="00381299">
        <w:t xml:space="preserve"> traceability and accountability</w:t>
      </w:r>
      <w:r w:rsidR="00B52C21">
        <w:t xml:space="preserve"> and</w:t>
      </w:r>
      <w:r w:rsidR="0024537A" w:rsidRPr="00381299">
        <w:t xml:space="preserve"> enables troubleshooting and supports the</w:t>
      </w:r>
      <w:r w:rsidR="00C15BDB" w:rsidRPr="00C15BDB">
        <w:t xml:space="preserve"> assurance activities of processes and transactions that rely on AI models.</w:t>
      </w:r>
      <w:r w:rsidR="0024537A">
        <w:t xml:space="preserve"> </w:t>
      </w:r>
      <w:r w:rsidR="007B4C8D">
        <w:t>The following key actions and modifications need to be documented</w:t>
      </w:r>
      <w:r w:rsidR="00AF5933">
        <w:t>:</w:t>
      </w:r>
    </w:p>
    <w:p w14:paraId="3C283B9C" w14:textId="77777777" w:rsidR="007B4C8D" w:rsidRDefault="003504B7" w:rsidP="007B4C8D">
      <w:pPr>
        <w:pStyle w:val="ListParagraph"/>
      </w:pPr>
      <w:r>
        <w:t>data preprocessing and model training iterations</w:t>
      </w:r>
    </w:p>
    <w:p w14:paraId="3CF06581" w14:textId="77777777" w:rsidR="007B4C8D" w:rsidRDefault="000C0DDF" w:rsidP="007B4C8D">
      <w:pPr>
        <w:pStyle w:val="ListParagraph"/>
      </w:pPr>
      <w:r w:rsidRPr="00381299">
        <w:t>validation outcomes</w:t>
      </w:r>
    </w:p>
    <w:p w14:paraId="205440C9" w14:textId="77777777" w:rsidR="007B4C8D" w:rsidRDefault="007B4C8D" w:rsidP="007B4C8D">
      <w:pPr>
        <w:pStyle w:val="ListParagraph"/>
      </w:pPr>
      <w:r>
        <w:t>d</w:t>
      </w:r>
      <w:r w:rsidR="000C0DDF" w:rsidRPr="00381299">
        <w:t>eployment steps</w:t>
      </w:r>
    </w:p>
    <w:p w14:paraId="28082DB3" w14:textId="77777777" w:rsidR="0024537A" w:rsidRDefault="000C0DDF" w:rsidP="007B4C8D">
      <w:pPr>
        <w:pStyle w:val="ListParagraph"/>
      </w:pPr>
      <w:r w:rsidRPr="00381299">
        <w:t>subsequent updates.</w:t>
      </w:r>
    </w:p>
    <w:p w14:paraId="153851E0" w14:textId="77777777" w:rsidR="0024537A" w:rsidRDefault="0024537A" w:rsidP="00381299"/>
    <w:p w14:paraId="51893C0F" w14:textId="422AD36D" w:rsidR="000C0DDF" w:rsidRDefault="002261BF" w:rsidP="00381299">
      <w:r w:rsidRPr="002261BF">
        <w:t xml:space="preserve">The EU AI Act requires </w:t>
      </w:r>
      <w:r w:rsidRPr="00DB1E3C">
        <w:rPr>
          <w:b/>
          <w:bCs/>
        </w:rPr>
        <w:t>meaningful human oversight</w:t>
      </w:r>
      <w:r w:rsidRPr="002261BF">
        <w:t xml:space="preserve"> for high</w:t>
      </w:r>
      <w:r w:rsidRPr="002261BF">
        <w:rPr>
          <w:rFonts w:ascii="Cambria Math" w:hAnsi="Cambria Math" w:cs="Cambria Math"/>
        </w:rPr>
        <w:t>‑</w:t>
      </w:r>
      <w:r w:rsidRPr="002261BF">
        <w:t xml:space="preserve">risk AI systems. </w:t>
      </w:r>
      <w:r w:rsidR="00B2378C" w:rsidRPr="00381299">
        <w:t>E</w:t>
      </w:r>
      <w:r w:rsidR="000C0DDF" w:rsidRPr="00381299">
        <w:t xml:space="preserve">ffective AI </w:t>
      </w:r>
      <w:r w:rsidR="003B322D">
        <w:t>model governance must</w:t>
      </w:r>
      <w:r w:rsidR="000C0DDF" w:rsidRPr="00381299">
        <w:t xml:space="preserve"> designat</w:t>
      </w:r>
      <w:r w:rsidR="003B322D">
        <w:t>e</w:t>
      </w:r>
      <w:r w:rsidR="000C0DDF" w:rsidRPr="00381299">
        <w:t xml:space="preserve"> individuals or committees </w:t>
      </w:r>
      <w:r w:rsidR="00B2378C" w:rsidRPr="00381299">
        <w:t>to</w:t>
      </w:r>
      <w:r w:rsidR="000C0DDF" w:rsidRPr="00381299">
        <w:t xml:space="preserve"> review model outputs, </w:t>
      </w:r>
      <w:r w:rsidR="003B322D">
        <w:t xml:space="preserve">have processes to </w:t>
      </w:r>
      <w:r w:rsidR="000C0DDF" w:rsidRPr="00381299">
        <w:t>interven</w:t>
      </w:r>
      <w:r w:rsidR="00B2378C" w:rsidRPr="00381299">
        <w:t>e</w:t>
      </w:r>
      <w:r w:rsidR="000C0DDF" w:rsidRPr="00381299">
        <w:t xml:space="preserve"> in the event of unusual behaviour, and </w:t>
      </w:r>
      <w:r w:rsidR="0096469D">
        <w:t xml:space="preserve">ensure considered </w:t>
      </w:r>
      <w:r>
        <w:t>decision-making</w:t>
      </w:r>
      <w:r w:rsidR="000C0DDF" w:rsidRPr="00381299">
        <w:t xml:space="preserve"> on outcomes with significant impact. </w:t>
      </w:r>
    </w:p>
    <w:p w14:paraId="3C1CD470" w14:textId="06CEF499" w:rsidR="002F33EC" w:rsidRPr="00701FF1" w:rsidRDefault="002F33EC" w:rsidP="0000780D">
      <w:pPr>
        <w:pStyle w:val="Heading2"/>
        <w:ind w:left="284" w:hanging="426"/>
        <w:rPr>
          <w:b/>
          <w:bCs w:val="0"/>
        </w:rPr>
      </w:pPr>
      <w:bookmarkStart w:id="25" w:name="_Toc215235081"/>
      <w:bookmarkStart w:id="26" w:name="_Toc223951578"/>
      <w:r w:rsidRPr="00701FF1">
        <w:rPr>
          <w:b/>
          <w:bCs w:val="0"/>
        </w:rPr>
        <w:t>Auditing business processes that contain AI applications or models</w:t>
      </w:r>
      <w:bookmarkEnd w:id="25"/>
      <w:bookmarkEnd w:id="26"/>
    </w:p>
    <w:p w14:paraId="10901E00" w14:textId="45D6925B" w:rsidR="00994A5A" w:rsidRDefault="002D74EE" w:rsidP="00C80C9D">
      <w:r w:rsidRPr="002D74EE">
        <w:t>The core auditing methodology does not change when Internal Audit reviews a business process that contains an Artificial Intelligence (AI) model or application. The principles of understanding the process, identifying risks, evaluating controls and testing evidence remain the same. What changes is the set of considerations, particularly when the process relies on probabilistic outputs, automated decision</w:t>
      </w:r>
      <w:r w:rsidRPr="002D74EE">
        <w:rPr>
          <w:rFonts w:ascii="Cambria Math" w:hAnsi="Cambria Math" w:cs="Cambria Math"/>
        </w:rPr>
        <w:t>‑</w:t>
      </w:r>
      <w:r w:rsidRPr="002D74EE">
        <w:t>making or data</w:t>
      </w:r>
      <w:r w:rsidRPr="002D74EE">
        <w:rPr>
          <w:rFonts w:ascii="Cambria Math" w:hAnsi="Cambria Math" w:cs="Cambria Math"/>
        </w:rPr>
        <w:t>‑</w:t>
      </w:r>
      <w:r w:rsidRPr="002D74EE">
        <w:t>driven logic, including</w:t>
      </w:r>
      <w:r w:rsidR="00994A5A">
        <w:t>:</w:t>
      </w:r>
    </w:p>
    <w:p w14:paraId="5573AA86" w14:textId="211B7A52" w:rsidR="004D2A21" w:rsidRDefault="002F33EC" w:rsidP="00994A5A">
      <w:pPr>
        <w:pStyle w:val="Heading3"/>
      </w:pPr>
      <w:r w:rsidRPr="00994A5A">
        <w:t>Engagement planning</w:t>
      </w:r>
    </w:p>
    <w:p w14:paraId="126BEE77" w14:textId="44973EA0" w:rsidR="003D3004" w:rsidRDefault="003D3004" w:rsidP="00E4269B">
      <w:pPr>
        <w:pStyle w:val="Heading4"/>
      </w:pPr>
      <w:r>
        <w:t xml:space="preserve">Clearly define the </w:t>
      </w:r>
      <w:r w:rsidR="0055374C">
        <w:t xml:space="preserve">audit engagement AI model </w:t>
      </w:r>
      <w:r>
        <w:t>access</w:t>
      </w:r>
      <w:r w:rsidR="00D14A68">
        <w:t xml:space="preserve"> level</w:t>
      </w:r>
      <w:r w:rsidR="007C6C41">
        <w:t xml:space="preserve"> requirements</w:t>
      </w:r>
    </w:p>
    <w:p w14:paraId="70285476" w14:textId="300C91B3" w:rsidR="002838A8" w:rsidRDefault="00D14A68" w:rsidP="00465D88">
      <w:pPr>
        <w:pStyle w:val="ListParagraph"/>
      </w:pPr>
      <w:r w:rsidRPr="002838A8">
        <w:rPr>
          <w:b/>
          <w:bCs/>
        </w:rPr>
        <w:t>Black</w:t>
      </w:r>
      <w:r w:rsidR="00D90867" w:rsidRPr="002838A8">
        <w:rPr>
          <w:b/>
          <w:bCs/>
        </w:rPr>
        <w:t>-B</w:t>
      </w:r>
      <w:r w:rsidRPr="002838A8">
        <w:rPr>
          <w:b/>
          <w:bCs/>
        </w:rPr>
        <w:t>ox</w:t>
      </w:r>
      <w:r w:rsidR="000F37E1" w:rsidRPr="002838A8">
        <w:rPr>
          <w:b/>
          <w:bCs/>
        </w:rPr>
        <w:t>:</w:t>
      </w:r>
      <w:r w:rsidR="000F37E1">
        <w:t xml:space="preserve"> </w:t>
      </w:r>
      <w:r w:rsidR="002838A8" w:rsidRPr="002838A8">
        <w:t>Auditors design inputs, query the system and analyse the outputs.</w:t>
      </w:r>
    </w:p>
    <w:p w14:paraId="2CFEDAFB" w14:textId="0B001513" w:rsidR="00D14A68" w:rsidRDefault="00D14A68" w:rsidP="00465D88">
      <w:pPr>
        <w:pStyle w:val="ListParagraph"/>
      </w:pPr>
      <w:r w:rsidRPr="002838A8">
        <w:rPr>
          <w:b/>
          <w:bCs/>
        </w:rPr>
        <w:t>Grey</w:t>
      </w:r>
      <w:r w:rsidR="00D90867" w:rsidRPr="002838A8">
        <w:rPr>
          <w:b/>
          <w:bCs/>
        </w:rPr>
        <w:t>-B</w:t>
      </w:r>
      <w:r w:rsidRPr="002838A8">
        <w:rPr>
          <w:b/>
          <w:bCs/>
        </w:rPr>
        <w:t>ox</w:t>
      </w:r>
      <w:r w:rsidR="000F37E1" w:rsidRPr="002838A8">
        <w:rPr>
          <w:b/>
          <w:bCs/>
        </w:rPr>
        <w:t>:</w:t>
      </w:r>
      <w:r w:rsidR="000F37E1">
        <w:t xml:space="preserve"> </w:t>
      </w:r>
      <w:r w:rsidR="001E7859">
        <w:t xml:space="preserve">Limited access to inner workings, </w:t>
      </w:r>
      <w:r w:rsidR="002D72A0">
        <w:t>such as neuron activations or output probabilities.</w:t>
      </w:r>
    </w:p>
    <w:p w14:paraId="7724C15D" w14:textId="5F0A20F4" w:rsidR="00D14A68" w:rsidRDefault="00D14A68" w:rsidP="00D14A68">
      <w:pPr>
        <w:pStyle w:val="ListParagraph"/>
      </w:pPr>
      <w:r w:rsidRPr="007C6C41">
        <w:rPr>
          <w:b/>
          <w:bCs/>
        </w:rPr>
        <w:t>White</w:t>
      </w:r>
      <w:r w:rsidR="00D90867">
        <w:rPr>
          <w:b/>
          <w:bCs/>
        </w:rPr>
        <w:t>-B</w:t>
      </w:r>
      <w:r w:rsidRPr="007C6C41">
        <w:rPr>
          <w:b/>
          <w:bCs/>
        </w:rPr>
        <w:t>ox</w:t>
      </w:r>
      <w:r w:rsidR="000F37E1" w:rsidRPr="007C6C41">
        <w:rPr>
          <w:b/>
          <w:bCs/>
        </w:rPr>
        <w:t>:</w:t>
      </w:r>
      <w:r w:rsidR="000F37E1">
        <w:t xml:space="preserve"> </w:t>
      </w:r>
      <w:r w:rsidR="002D72A0">
        <w:t xml:space="preserve"> </w:t>
      </w:r>
      <w:r w:rsidR="00BB3081">
        <w:t>Full access to the system, including</w:t>
      </w:r>
      <w:r w:rsidR="00EE3FC3">
        <w:t xml:space="preserve"> weights, gradients, and the ability to </w:t>
      </w:r>
      <w:r w:rsidR="00133907">
        <w:t>fine-tune</w:t>
      </w:r>
      <w:r w:rsidR="00EE3FC3">
        <w:t xml:space="preserve"> the model.</w:t>
      </w:r>
    </w:p>
    <w:p w14:paraId="3EC1312A" w14:textId="5C4E0446" w:rsidR="00AF6EB1" w:rsidRDefault="00AF6EB1" w:rsidP="00D14A68">
      <w:pPr>
        <w:pStyle w:val="ListParagraph"/>
      </w:pPr>
      <w:r w:rsidRPr="007C6C41">
        <w:rPr>
          <w:b/>
          <w:bCs/>
        </w:rPr>
        <w:t>Outside</w:t>
      </w:r>
      <w:r w:rsidR="00D90867">
        <w:rPr>
          <w:b/>
          <w:bCs/>
        </w:rPr>
        <w:t>-</w:t>
      </w:r>
      <w:r w:rsidRPr="007C6C41">
        <w:rPr>
          <w:b/>
          <w:bCs/>
        </w:rPr>
        <w:t>the</w:t>
      </w:r>
      <w:r w:rsidR="00D90867">
        <w:rPr>
          <w:b/>
          <w:bCs/>
        </w:rPr>
        <w:t>-B</w:t>
      </w:r>
      <w:r w:rsidRPr="007C6C41">
        <w:rPr>
          <w:b/>
          <w:bCs/>
        </w:rPr>
        <w:t>ox:</w:t>
      </w:r>
      <w:r>
        <w:t xml:space="preserve"> Access to additional information about development and deployment</w:t>
      </w:r>
      <w:r w:rsidR="007C6C41">
        <w:t>, including training data, source code and documentation.</w:t>
      </w:r>
    </w:p>
    <w:p w14:paraId="58556F1E" w14:textId="77777777" w:rsidR="00750980" w:rsidRDefault="00750980" w:rsidP="006C40B6"/>
    <w:p w14:paraId="005CFBFD" w14:textId="4C8E8407" w:rsidR="00E4269B" w:rsidRDefault="00E4269B" w:rsidP="00E4269B">
      <w:pPr>
        <w:pStyle w:val="Heading4"/>
      </w:pPr>
      <w:r>
        <w:lastRenderedPageBreak/>
        <w:t xml:space="preserve">Clearly define </w:t>
      </w:r>
      <w:r w:rsidR="00015225">
        <w:t xml:space="preserve">the </w:t>
      </w:r>
      <w:r>
        <w:t>engagement context</w:t>
      </w:r>
    </w:p>
    <w:p w14:paraId="6D0DA06D" w14:textId="5796582F" w:rsidR="00895D9B" w:rsidRDefault="00C77CF3" w:rsidP="00DB1E3C">
      <w:r>
        <w:t>Define</w:t>
      </w:r>
      <w:r w:rsidR="00320CE4" w:rsidRPr="00DB1E3C">
        <w:t xml:space="preserve"> the purpose of the engagement and the type of assurance required. This may include assessing whether the organisation is ready to use the AI solution, reviewing compliance with internal policies or external regulations, evaluating the effectiveness of incident response arrangements, validating transactions influenced by the model or providing advisory support on topics such as governance structures, operational readiness or conduct</w:t>
      </w:r>
      <w:r w:rsidR="00320CE4" w:rsidRPr="00DB1E3C">
        <w:rPr>
          <w:rFonts w:ascii="Cambria Math" w:hAnsi="Cambria Math" w:cs="Cambria Math"/>
        </w:rPr>
        <w:t>‑</w:t>
      </w:r>
      <w:r w:rsidR="00320CE4" w:rsidRPr="00DB1E3C">
        <w:t>related risks.</w:t>
      </w:r>
    </w:p>
    <w:p w14:paraId="2AD4D41D" w14:textId="3F69CA88" w:rsidR="00422DE3" w:rsidRDefault="00422DE3" w:rsidP="00994A5A">
      <w:pPr>
        <w:pStyle w:val="Heading4"/>
      </w:pPr>
      <w:r>
        <w:t xml:space="preserve">Engage with the </w:t>
      </w:r>
      <w:r w:rsidR="00994A5A">
        <w:t>right</w:t>
      </w:r>
      <w:r>
        <w:t xml:space="preserve"> stakeholders</w:t>
      </w:r>
      <w:r w:rsidR="00994A5A">
        <w:t xml:space="preserve"> to gather information and evidence</w:t>
      </w:r>
    </w:p>
    <w:p w14:paraId="5C4698A5" w14:textId="42E5CE7A" w:rsidR="00F16657" w:rsidRPr="00F16657" w:rsidRDefault="00F16657" w:rsidP="00DB1E3C">
      <w:r w:rsidRPr="00F16657">
        <w:t>AI</w:t>
      </w:r>
      <w:r w:rsidRPr="00F16657">
        <w:rPr>
          <w:rFonts w:ascii="Cambria Math" w:hAnsi="Cambria Math" w:cs="Cambria Math"/>
        </w:rPr>
        <w:t>‑</w:t>
      </w:r>
      <w:r w:rsidRPr="00F16657">
        <w:t>enabled processes involve a broader set of stakeholders than traditional automated systems. Internal Audit engages with technical specialists such as data scientists, machine learning engineers and machine learning architects to understand how the model was built, trained and deployed. Operational leaders provide insight into how the model</w:t>
      </w:r>
      <w:r w:rsidRPr="00F16657">
        <w:rPr>
          <w:rFonts w:ascii="Arial" w:hAnsi="Arial" w:cs="Arial"/>
        </w:rPr>
        <w:t>’</w:t>
      </w:r>
      <w:r w:rsidRPr="00F16657">
        <w:t>s outputs influence day</w:t>
      </w:r>
      <w:r w:rsidRPr="00F16657">
        <w:rPr>
          <w:rFonts w:ascii="Cambria Math" w:hAnsi="Cambria Math" w:cs="Cambria Math"/>
        </w:rPr>
        <w:t>‑</w:t>
      </w:r>
      <w:r w:rsidRPr="00F16657">
        <w:t>to</w:t>
      </w:r>
      <w:r w:rsidRPr="00F16657">
        <w:rPr>
          <w:rFonts w:ascii="Cambria Math" w:hAnsi="Cambria Math" w:cs="Cambria Math"/>
        </w:rPr>
        <w:t>‑</w:t>
      </w:r>
      <w:r w:rsidRPr="00F16657">
        <w:t>day decisions and where judgement is applied. Risk management, legal and compliance teams help define the boundaries within which the model operates, including regulatory expectations, ethical considerations and data</w:t>
      </w:r>
      <w:r w:rsidRPr="00F16657">
        <w:rPr>
          <w:rFonts w:ascii="Cambria Math" w:hAnsi="Cambria Math" w:cs="Cambria Math"/>
        </w:rPr>
        <w:t>‑</w:t>
      </w:r>
      <w:r w:rsidRPr="00F16657">
        <w:t>related constraints.</w:t>
      </w:r>
    </w:p>
    <w:p w14:paraId="27E20AC9" w14:textId="77777777" w:rsidR="006C40B6" w:rsidRPr="00BC67AB" w:rsidRDefault="006C40B6" w:rsidP="00DB1E3C">
      <w:pPr>
        <w:pStyle w:val="ListParagraph"/>
        <w:numPr>
          <w:ilvl w:val="0"/>
          <w:numId w:val="0"/>
        </w:numPr>
        <w:ind w:left="720"/>
      </w:pPr>
    </w:p>
    <w:p w14:paraId="5DAC7783" w14:textId="59742066" w:rsidR="00422DE3" w:rsidRDefault="00422DE3" w:rsidP="00994A5A">
      <w:pPr>
        <w:pStyle w:val="Heading4"/>
      </w:pPr>
      <w:r>
        <w:t>Ask the right questions</w:t>
      </w:r>
      <w:r w:rsidR="00E02ECC">
        <w:t xml:space="preserve"> based on the </w:t>
      </w:r>
      <w:r w:rsidR="00994A5A">
        <w:t>assurance focus</w:t>
      </w:r>
    </w:p>
    <w:p w14:paraId="2396444C" w14:textId="6AC47F0A" w:rsidR="00B349B0" w:rsidRDefault="001A6D09" w:rsidP="00E02ECC">
      <w:r w:rsidRPr="001A6D09">
        <w:t xml:space="preserve">Ask questions that are relevant to the assurance you want to provide.  When a process includes an AI model or application, auditors may need to explore areas that would not arise in a traditional system review. </w:t>
      </w:r>
      <w:r w:rsidR="00BB28CC" w:rsidRPr="00BB28CC">
        <w:t xml:space="preserve">Table 2 provides examples of questions that help </w:t>
      </w:r>
      <w:r w:rsidR="00BB28CC">
        <w:t>auditors</w:t>
      </w:r>
      <w:r w:rsidR="00BB28CC" w:rsidRPr="00BB28CC">
        <w:t xml:space="preserve"> understand how the model operates, how it is governed and how it affects the process </w:t>
      </w:r>
      <w:r w:rsidR="00BB28CC">
        <w:t xml:space="preserve">or environment </w:t>
      </w:r>
      <w:r w:rsidR="00BB28CC" w:rsidRPr="00BB28CC">
        <w:t>being audited</w:t>
      </w:r>
      <w:r w:rsidR="002372AF">
        <w:t>:</w:t>
      </w:r>
    </w:p>
    <w:p w14:paraId="49E7CCC5" w14:textId="35B6862C" w:rsidR="009A0F7B" w:rsidRPr="00E33917" w:rsidRDefault="00E33917" w:rsidP="00E33917">
      <w:pPr>
        <w:pStyle w:val="Caption"/>
        <w:keepNext/>
        <w:jc w:val="both"/>
      </w:pPr>
      <w:r>
        <w:t xml:space="preserve">Table </w:t>
      </w:r>
      <w:fldSimple w:instr=" SEQ Table \* ARABIC ">
        <w:r w:rsidR="00FE56EB">
          <w:rPr>
            <w:noProof/>
          </w:rPr>
          <w:t>2</w:t>
        </w:r>
      </w:fldSimple>
      <w:r>
        <w:t xml:space="preserve">: </w:t>
      </w:r>
      <w:r w:rsidR="009A0F7B" w:rsidRPr="00E33917">
        <w:t>Examples of questions that should be asked of stakeholders</w:t>
      </w:r>
    </w:p>
    <w:tbl>
      <w:tblPr>
        <w:tblStyle w:val="ListTable3-Accent2"/>
        <w:tblW w:w="0" w:type="auto"/>
        <w:tblLook w:val="04A0" w:firstRow="1" w:lastRow="0" w:firstColumn="1" w:lastColumn="0" w:noHBand="0" w:noVBand="1"/>
      </w:tblPr>
      <w:tblGrid>
        <w:gridCol w:w="1695"/>
        <w:gridCol w:w="2269"/>
        <w:gridCol w:w="5658"/>
      </w:tblGrid>
      <w:tr w:rsidR="009A0F7B" w:rsidRPr="009A0F7B" w14:paraId="77914ABB" w14:textId="77777777" w:rsidTr="00E5182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95" w:type="dxa"/>
          </w:tcPr>
          <w:p w14:paraId="6FDC5883" w14:textId="5D0E592A" w:rsidR="009A0F7B" w:rsidRPr="009A0F7B" w:rsidRDefault="009A0F7B" w:rsidP="00E02ECC">
            <w:pPr>
              <w:rPr>
                <w:sz w:val="18"/>
                <w:szCs w:val="18"/>
              </w:rPr>
            </w:pPr>
            <w:r w:rsidRPr="009A0F7B">
              <w:rPr>
                <w:sz w:val="18"/>
                <w:szCs w:val="18"/>
              </w:rPr>
              <w:t>Assurance Area</w:t>
            </w:r>
          </w:p>
        </w:tc>
        <w:tc>
          <w:tcPr>
            <w:tcW w:w="2269" w:type="dxa"/>
          </w:tcPr>
          <w:p w14:paraId="08B5CF58" w14:textId="536E867E" w:rsidR="009A0F7B" w:rsidRPr="009A0F7B" w:rsidRDefault="009A0F7B" w:rsidP="00E02ECC">
            <w:pPr>
              <w:cnfStyle w:val="100000000000" w:firstRow="1" w:lastRow="0" w:firstColumn="0" w:lastColumn="0" w:oddVBand="0" w:evenVBand="0" w:oddHBand="0" w:evenHBand="0" w:firstRowFirstColumn="0" w:firstRowLastColumn="0" w:lastRowFirstColumn="0" w:lastRowLastColumn="0"/>
              <w:rPr>
                <w:sz w:val="18"/>
                <w:szCs w:val="18"/>
              </w:rPr>
            </w:pPr>
            <w:r w:rsidRPr="009A0F7B">
              <w:rPr>
                <w:sz w:val="18"/>
                <w:szCs w:val="18"/>
              </w:rPr>
              <w:t>Focus</w:t>
            </w:r>
          </w:p>
        </w:tc>
        <w:tc>
          <w:tcPr>
            <w:tcW w:w="5658" w:type="dxa"/>
          </w:tcPr>
          <w:p w14:paraId="733C9E49" w14:textId="2A5E8F8D" w:rsidR="009A0F7B" w:rsidRPr="009A0F7B" w:rsidRDefault="009A0F7B" w:rsidP="00E02ECC">
            <w:pPr>
              <w:cnfStyle w:val="100000000000" w:firstRow="1" w:lastRow="0" w:firstColumn="0" w:lastColumn="0" w:oddVBand="0" w:evenVBand="0" w:oddHBand="0" w:evenHBand="0" w:firstRowFirstColumn="0" w:firstRowLastColumn="0" w:lastRowFirstColumn="0" w:lastRowLastColumn="0"/>
              <w:rPr>
                <w:sz w:val="18"/>
                <w:szCs w:val="18"/>
              </w:rPr>
            </w:pPr>
            <w:r w:rsidRPr="009A0F7B">
              <w:rPr>
                <w:sz w:val="18"/>
                <w:szCs w:val="18"/>
              </w:rPr>
              <w:t>Questions</w:t>
            </w:r>
          </w:p>
        </w:tc>
      </w:tr>
      <w:tr w:rsidR="009A0F7B" w:rsidRPr="009A0F7B" w14:paraId="3CD69E88" w14:textId="77777777" w:rsidTr="00E51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tcPr>
          <w:p w14:paraId="1BECDDA6" w14:textId="67417E9C" w:rsidR="009A0F7B" w:rsidRPr="009A0F7B" w:rsidRDefault="009A0F7B" w:rsidP="00E02ECC">
            <w:pPr>
              <w:rPr>
                <w:sz w:val="18"/>
                <w:szCs w:val="18"/>
              </w:rPr>
            </w:pPr>
            <w:r w:rsidRPr="009A0F7B">
              <w:rPr>
                <w:sz w:val="18"/>
                <w:szCs w:val="18"/>
              </w:rPr>
              <w:t>Operational efficiency</w:t>
            </w:r>
          </w:p>
        </w:tc>
        <w:tc>
          <w:tcPr>
            <w:tcW w:w="2269" w:type="dxa"/>
          </w:tcPr>
          <w:p w14:paraId="67977949" w14:textId="22104250" w:rsidR="0075421E" w:rsidRPr="00E51820" w:rsidRDefault="00133440" w:rsidP="00E51820">
            <w:pPr>
              <w:pStyle w:val="Tablebullet"/>
              <w:cnfStyle w:val="000000100000" w:firstRow="0" w:lastRow="0" w:firstColumn="0" w:lastColumn="0" w:oddVBand="0" w:evenVBand="0" w:oddHBand="1" w:evenHBand="0" w:firstRowFirstColumn="0" w:firstRowLastColumn="0" w:lastRowFirstColumn="0" w:lastRowLastColumn="0"/>
            </w:pPr>
            <w:r w:rsidRPr="00E51820">
              <w:t>R</w:t>
            </w:r>
            <w:r w:rsidR="009A0F7B" w:rsidRPr="00E51820">
              <w:t>esource usage</w:t>
            </w:r>
            <w:r w:rsidR="009533B7" w:rsidRPr="00E51820">
              <w:t>.</w:t>
            </w:r>
            <w:r w:rsidR="009A0F7B" w:rsidRPr="00E51820">
              <w:t xml:space="preserve"> efficiency</w:t>
            </w:r>
            <w:r w:rsidR="0076538A" w:rsidRPr="00E51820">
              <w:t>.</w:t>
            </w:r>
          </w:p>
          <w:p w14:paraId="1A231B3C" w14:textId="4B34BBFA" w:rsidR="0075421E" w:rsidRPr="00E51820" w:rsidRDefault="0075421E" w:rsidP="00E51820">
            <w:pPr>
              <w:pStyle w:val="Tablebullet"/>
              <w:cnfStyle w:val="000000100000" w:firstRow="0" w:lastRow="0" w:firstColumn="0" w:lastColumn="0" w:oddVBand="0" w:evenVBand="0" w:oddHBand="1" w:evenHBand="0" w:firstRowFirstColumn="0" w:firstRowLastColumn="0" w:lastRowFirstColumn="0" w:lastRowLastColumn="0"/>
            </w:pPr>
            <w:r w:rsidRPr="00E51820">
              <w:t>S</w:t>
            </w:r>
            <w:r w:rsidR="009A0F7B" w:rsidRPr="00E51820">
              <w:t>peed</w:t>
            </w:r>
            <w:r w:rsidR="0076538A" w:rsidRPr="00E51820">
              <w:t xml:space="preserve"> optimisation.</w:t>
            </w:r>
          </w:p>
          <w:p w14:paraId="1C0B2C7A" w14:textId="411C3492" w:rsidR="009A0F7B" w:rsidRPr="00E51820" w:rsidRDefault="0075421E" w:rsidP="00E51820">
            <w:pPr>
              <w:pStyle w:val="Tablebullet"/>
              <w:cnfStyle w:val="000000100000" w:firstRow="0" w:lastRow="0" w:firstColumn="0" w:lastColumn="0" w:oddVBand="0" w:evenVBand="0" w:oddHBand="1" w:evenHBand="0" w:firstRowFirstColumn="0" w:firstRowLastColumn="0" w:lastRowFirstColumn="0" w:lastRowLastColumn="0"/>
            </w:pPr>
            <w:r w:rsidRPr="00E51820">
              <w:t>B</w:t>
            </w:r>
            <w:r w:rsidR="009A0F7B" w:rsidRPr="00E51820">
              <w:t>enefit realisation</w:t>
            </w:r>
            <w:r w:rsidR="0076538A" w:rsidRPr="00E51820">
              <w:t>.</w:t>
            </w:r>
          </w:p>
        </w:tc>
        <w:tc>
          <w:tcPr>
            <w:tcW w:w="5658" w:type="dxa"/>
          </w:tcPr>
          <w:p w14:paraId="4890F4C7" w14:textId="77777777"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How are model versions tracked?</w:t>
            </w:r>
          </w:p>
          <w:p w14:paraId="7C0B4DA8" w14:textId="279B2610"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Do we have rollback capability if the new model drifts?</w:t>
            </w:r>
          </w:p>
          <w:p w14:paraId="58AF1E4A" w14:textId="77777777"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What happens if the inference API fails or latency exceeds thresholds?</w:t>
            </w:r>
          </w:p>
          <w:p w14:paraId="5129EB40" w14:textId="48D4B3B9"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What is the total cost of ownership (TCO) for the model, including inference costs (tokens/compute)</w:t>
            </w:r>
            <w:r w:rsidR="006A7AE7" w:rsidRPr="00E51820">
              <w:t>,</w:t>
            </w:r>
            <w:r w:rsidRPr="00E51820">
              <w:t xml:space="preserve"> versus business value generated?</w:t>
            </w:r>
          </w:p>
          <w:p w14:paraId="68FFEA91" w14:textId="5541BF7C"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How do we monitor GPU</w:t>
            </w:r>
            <w:r w:rsidR="00FA4AF9" w:rsidRPr="00E51820">
              <w:t xml:space="preserve"> (Graphics Processing Unit)</w:t>
            </w:r>
            <w:r w:rsidRPr="00E51820">
              <w:t xml:space="preserve"> utili</w:t>
            </w:r>
            <w:r w:rsidR="00395759" w:rsidRPr="00E51820">
              <w:t>s</w:t>
            </w:r>
            <w:r w:rsidRPr="00E51820">
              <w:t xml:space="preserve">ation and </w:t>
            </w:r>
            <w:r w:rsidR="005851B8" w:rsidRPr="00E51820">
              <w:t xml:space="preserve">what processes are in place to identify and retire </w:t>
            </w:r>
            <w:r w:rsidRPr="00E51820">
              <w:t>'zombie' models (deployed but unused) to prevent resource wastage?</w:t>
            </w:r>
          </w:p>
        </w:tc>
      </w:tr>
      <w:tr w:rsidR="009A0F7B" w:rsidRPr="009A0F7B" w14:paraId="4BA6D1E0" w14:textId="77777777" w:rsidTr="00E51820">
        <w:tc>
          <w:tcPr>
            <w:cnfStyle w:val="001000000000" w:firstRow="0" w:lastRow="0" w:firstColumn="1" w:lastColumn="0" w:oddVBand="0" w:evenVBand="0" w:oddHBand="0" w:evenHBand="0" w:firstRowFirstColumn="0" w:firstRowLastColumn="0" w:lastRowFirstColumn="0" w:lastRowLastColumn="0"/>
            <w:tcW w:w="1695" w:type="dxa"/>
          </w:tcPr>
          <w:p w14:paraId="108CA9CA" w14:textId="35A0EDE8" w:rsidR="009A0F7B" w:rsidRPr="009A0F7B" w:rsidRDefault="009A0F7B" w:rsidP="00E02ECC">
            <w:pPr>
              <w:rPr>
                <w:sz w:val="18"/>
                <w:szCs w:val="18"/>
              </w:rPr>
            </w:pPr>
            <w:r w:rsidRPr="009A0F7B">
              <w:rPr>
                <w:sz w:val="18"/>
                <w:szCs w:val="18"/>
              </w:rPr>
              <w:t xml:space="preserve">Safeguarding assets </w:t>
            </w:r>
          </w:p>
        </w:tc>
        <w:tc>
          <w:tcPr>
            <w:tcW w:w="2269" w:type="dxa"/>
          </w:tcPr>
          <w:p w14:paraId="43EF9632" w14:textId="1E079C45" w:rsidR="001F656E" w:rsidRPr="00E51820" w:rsidRDefault="001F656E" w:rsidP="00E51820">
            <w:pPr>
              <w:pStyle w:val="Tablebullet"/>
              <w:cnfStyle w:val="000000000000" w:firstRow="0" w:lastRow="0" w:firstColumn="0" w:lastColumn="0" w:oddVBand="0" w:evenVBand="0" w:oddHBand="0" w:evenHBand="0" w:firstRowFirstColumn="0" w:firstRowLastColumn="0" w:lastRowFirstColumn="0" w:lastRowLastColumn="0"/>
            </w:pPr>
            <w:r w:rsidRPr="00E51820">
              <w:t>S</w:t>
            </w:r>
            <w:r w:rsidR="009A0F7B" w:rsidRPr="00E51820">
              <w:t>ecurity</w:t>
            </w:r>
            <w:r w:rsidR="00F9703D" w:rsidRPr="00E51820">
              <w:t>.</w:t>
            </w:r>
          </w:p>
          <w:p w14:paraId="1972B501" w14:textId="2502C17C" w:rsidR="001F656E" w:rsidRPr="00E51820" w:rsidRDefault="001F656E" w:rsidP="00E51820">
            <w:pPr>
              <w:pStyle w:val="Tablebullet"/>
              <w:cnfStyle w:val="000000000000" w:firstRow="0" w:lastRow="0" w:firstColumn="0" w:lastColumn="0" w:oddVBand="0" w:evenVBand="0" w:oddHBand="0" w:evenHBand="0" w:firstRowFirstColumn="0" w:firstRowLastColumn="0" w:lastRowFirstColumn="0" w:lastRowLastColumn="0"/>
            </w:pPr>
            <w:r w:rsidRPr="00E51820">
              <w:t>A</w:t>
            </w:r>
            <w:r w:rsidR="009A0F7B" w:rsidRPr="00E51820">
              <w:t>ccess control</w:t>
            </w:r>
            <w:r w:rsidR="00F9703D" w:rsidRPr="00E51820">
              <w:t>.</w:t>
            </w:r>
            <w:r w:rsidR="009A0F7B" w:rsidRPr="00E51820">
              <w:t xml:space="preserve">  </w:t>
            </w:r>
          </w:p>
          <w:p w14:paraId="181DD340" w14:textId="75C57149" w:rsidR="009A0F7B" w:rsidRPr="00E51820" w:rsidRDefault="001F656E" w:rsidP="00E51820">
            <w:pPr>
              <w:pStyle w:val="Tablebullet"/>
              <w:cnfStyle w:val="000000000000" w:firstRow="0" w:lastRow="0" w:firstColumn="0" w:lastColumn="0" w:oddVBand="0" w:evenVBand="0" w:oddHBand="0" w:evenHBand="0" w:firstRowFirstColumn="0" w:firstRowLastColumn="0" w:lastRowFirstColumn="0" w:lastRowLastColumn="0"/>
            </w:pPr>
            <w:r w:rsidRPr="00E51820">
              <w:t>P</w:t>
            </w:r>
            <w:r w:rsidR="009A0F7B" w:rsidRPr="00E51820">
              <w:t>roperty protection</w:t>
            </w:r>
            <w:r w:rsidR="00F9703D" w:rsidRPr="00E51820">
              <w:t>.</w:t>
            </w:r>
          </w:p>
        </w:tc>
        <w:tc>
          <w:tcPr>
            <w:tcW w:w="5658" w:type="dxa"/>
          </w:tcPr>
          <w:p w14:paraId="320F4AB2" w14:textId="3B879CB3" w:rsidR="009A0F7B" w:rsidRPr="00E51820" w:rsidRDefault="009A0F7B" w:rsidP="00E51820">
            <w:pPr>
              <w:pStyle w:val="Tablebullet"/>
              <w:cnfStyle w:val="000000000000" w:firstRow="0" w:lastRow="0" w:firstColumn="0" w:lastColumn="0" w:oddVBand="0" w:evenVBand="0" w:oddHBand="0" w:evenHBand="0" w:firstRowFirstColumn="0" w:firstRowLastColumn="0" w:lastRowFirstColumn="0" w:lastRowLastColumn="0"/>
            </w:pPr>
            <w:r w:rsidRPr="00E51820">
              <w:t>Wh</w:t>
            </w:r>
            <w:r w:rsidR="00FB6D7D" w:rsidRPr="00E51820">
              <w:t>ich</w:t>
            </w:r>
            <w:r w:rsidRPr="00E51820">
              <w:t xml:space="preserve"> </w:t>
            </w:r>
            <w:r w:rsidR="00FB6D7D" w:rsidRPr="00E51820">
              <w:t>individuals have</w:t>
            </w:r>
            <w:r w:rsidR="005A44EC" w:rsidRPr="00E51820">
              <w:t xml:space="preserve"> </w:t>
            </w:r>
            <w:r w:rsidRPr="00E51820">
              <w:t>access</w:t>
            </w:r>
            <w:r w:rsidR="009235BA" w:rsidRPr="00E51820">
              <w:t xml:space="preserve"> or roles with the ability to add, modify, or delete entries in the Model Registry, </w:t>
            </w:r>
            <w:r w:rsidR="00A7180F" w:rsidRPr="00E51820">
              <w:t>and how</w:t>
            </w:r>
            <w:r w:rsidR="00FB6D7D" w:rsidRPr="00E51820">
              <w:t xml:space="preserve"> </w:t>
            </w:r>
            <w:r w:rsidR="00B002D4" w:rsidRPr="00E51820">
              <w:t>are access rights</w:t>
            </w:r>
            <w:r w:rsidR="009235BA" w:rsidRPr="00E51820">
              <w:t xml:space="preserve"> governed and reviewed?</w:t>
            </w:r>
          </w:p>
          <w:p w14:paraId="0FB162F6" w14:textId="77777777" w:rsidR="009A0F7B" w:rsidRPr="00E51820" w:rsidRDefault="009A0F7B" w:rsidP="00E51820">
            <w:pPr>
              <w:pStyle w:val="Tablebullet"/>
              <w:cnfStyle w:val="000000000000" w:firstRow="0" w:lastRow="0" w:firstColumn="0" w:lastColumn="0" w:oddVBand="0" w:evenVBand="0" w:oddHBand="0" w:evenHBand="0" w:firstRowFirstColumn="0" w:firstRowLastColumn="0" w:lastRowFirstColumn="0" w:lastRowLastColumn="0"/>
            </w:pPr>
            <w:r w:rsidRPr="00E51820">
              <w:t>Can the same person who trains the model also deploy it to the production endpoint?</w:t>
            </w:r>
          </w:p>
          <w:p w14:paraId="232E381B" w14:textId="77777777" w:rsidR="009A0F7B" w:rsidRPr="00E51820" w:rsidRDefault="009A0F7B" w:rsidP="00E51820">
            <w:pPr>
              <w:pStyle w:val="Tablebullet"/>
              <w:cnfStyle w:val="000000000000" w:firstRow="0" w:lastRow="0" w:firstColumn="0" w:lastColumn="0" w:oddVBand="0" w:evenVBand="0" w:oddHBand="0" w:evenHBand="0" w:firstRowFirstColumn="0" w:firstRowLastColumn="0" w:lastRowFirstColumn="0" w:lastRowLastColumn="0"/>
            </w:pPr>
            <w:r w:rsidRPr="00E51820">
              <w:t>What data sanitisation pipelines are in place to prevent data poisoning or adversarial inputs?</w:t>
            </w:r>
          </w:p>
          <w:p w14:paraId="3F2B3B40" w14:textId="67AA4807" w:rsidR="009A0F7B" w:rsidRPr="00E51820" w:rsidRDefault="009A0F7B" w:rsidP="00E51820">
            <w:pPr>
              <w:pStyle w:val="Tablebullet"/>
              <w:cnfStyle w:val="000000000000" w:firstRow="0" w:lastRow="0" w:firstColumn="0" w:lastColumn="0" w:oddVBand="0" w:evenVBand="0" w:oddHBand="0" w:evenHBand="0" w:firstRowFirstColumn="0" w:firstRowLastColumn="0" w:lastRowFirstColumn="0" w:lastRowLastColumn="0"/>
            </w:pPr>
            <w:r w:rsidRPr="00E51820">
              <w:t xml:space="preserve">What technical controls are in place to detect and prevent </w:t>
            </w:r>
            <w:r w:rsidR="00A7180F" w:rsidRPr="00E51820">
              <w:t>“</w:t>
            </w:r>
            <w:r w:rsidRPr="00E51820">
              <w:t>Shadow</w:t>
            </w:r>
            <w:r w:rsidR="00A7180F" w:rsidRPr="00E51820">
              <w:t>”</w:t>
            </w:r>
            <w:r w:rsidRPr="00E51820">
              <w:t xml:space="preserve"> AI usage?</w:t>
            </w:r>
          </w:p>
          <w:p w14:paraId="788CDF1D" w14:textId="4D83CB81" w:rsidR="009A0F7B" w:rsidRPr="00E51820" w:rsidRDefault="00DB122F" w:rsidP="00E51820">
            <w:pPr>
              <w:pStyle w:val="Tablebullet"/>
              <w:cnfStyle w:val="000000000000" w:firstRow="0" w:lastRow="0" w:firstColumn="0" w:lastColumn="0" w:oddVBand="0" w:evenVBand="0" w:oddHBand="0" w:evenHBand="0" w:firstRowFirstColumn="0" w:firstRowLastColumn="0" w:lastRowFirstColumn="0" w:lastRowLastColumn="0"/>
            </w:pPr>
            <w:r w:rsidRPr="00E51820">
              <w:lastRenderedPageBreak/>
              <w:t>What security measures and controls do we have in place to ensure that vector databases used for Retrieval</w:t>
            </w:r>
            <w:r w:rsidRPr="00E51820">
              <w:rPr>
                <w:rFonts w:ascii="Cambria Math" w:hAnsi="Cambria Math" w:cs="Cambria Math"/>
              </w:rPr>
              <w:t>‑</w:t>
            </w:r>
            <w:r w:rsidRPr="00E51820">
              <w:t>Augmented Generation (RAG) are protected against unauthori</w:t>
            </w:r>
            <w:r w:rsidR="009D5B88" w:rsidRPr="00E51820">
              <w:t>s</w:t>
            </w:r>
            <w:r w:rsidRPr="00E51820">
              <w:t>ed access and cross</w:t>
            </w:r>
            <w:r w:rsidRPr="00E51820">
              <w:rPr>
                <w:rFonts w:ascii="Cambria Math" w:hAnsi="Cambria Math" w:cs="Cambria Math"/>
              </w:rPr>
              <w:t>‑</w:t>
            </w:r>
            <w:r w:rsidRPr="00E51820">
              <w:t>customer data leakage?</w:t>
            </w:r>
          </w:p>
          <w:p w14:paraId="4DAFDC5C" w14:textId="77777777" w:rsidR="00431CCB" w:rsidRPr="00E51820" w:rsidRDefault="008A7747" w:rsidP="00E51820">
            <w:pPr>
              <w:pStyle w:val="Tablebullet"/>
              <w:cnfStyle w:val="000000000000" w:firstRow="0" w:lastRow="0" w:firstColumn="0" w:lastColumn="0" w:oddVBand="0" w:evenVBand="0" w:oddHBand="0" w:evenHBand="0" w:firstRowFirstColumn="0" w:firstRowLastColumn="0" w:lastRowFirstColumn="0" w:lastRowLastColumn="0"/>
            </w:pPr>
            <w:r w:rsidRPr="00E51820">
              <w:t>What processes and controls do we have in place to assess whether deployed models are vulnerable to model inversion attacks</w:t>
            </w:r>
            <w:r w:rsidR="00431CCB" w:rsidRPr="00E51820">
              <w:t>?</w:t>
            </w:r>
          </w:p>
          <w:p w14:paraId="7F5A70D0" w14:textId="54EB336B" w:rsidR="009A0F7B" w:rsidRPr="00E51820" w:rsidRDefault="00431CCB" w:rsidP="00E51820">
            <w:pPr>
              <w:pStyle w:val="Tablebullet"/>
              <w:cnfStyle w:val="000000000000" w:firstRow="0" w:lastRow="0" w:firstColumn="0" w:lastColumn="0" w:oddVBand="0" w:evenVBand="0" w:oddHBand="0" w:evenHBand="0" w:firstRowFirstColumn="0" w:firstRowLastColumn="0" w:lastRowFirstColumn="0" w:lastRowLastColumn="0"/>
            </w:pPr>
            <w:r w:rsidRPr="00E51820">
              <w:t>What</w:t>
            </w:r>
            <w:r w:rsidR="008A7747" w:rsidRPr="00E51820">
              <w:t xml:space="preserve"> testing </w:t>
            </w:r>
            <w:r w:rsidR="00B002D4" w:rsidRPr="00E51820">
              <w:t xml:space="preserve">was </w:t>
            </w:r>
            <w:r w:rsidR="008A7747" w:rsidRPr="00E51820">
              <w:t>performed to ensure sensitive training data cannot be reconstructed or exposed?</w:t>
            </w:r>
          </w:p>
        </w:tc>
      </w:tr>
      <w:tr w:rsidR="009A0F7B" w:rsidRPr="009A0F7B" w14:paraId="3999B58E" w14:textId="77777777" w:rsidTr="00E51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tcPr>
          <w:p w14:paraId="59CE5105" w14:textId="1F4F3BED" w:rsidR="009A0F7B" w:rsidRPr="009A0F7B" w:rsidRDefault="009A0F7B" w:rsidP="00E02ECC">
            <w:pPr>
              <w:rPr>
                <w:sz w:val="18"/>
                <w:szCs w:val="18"/>
              </w:rPr>
            </w:pPr>
            <w:r w:rsidRPr="009A0F7B">
              <w:rPr>
                <w:sz w:val="18"/>
                <w:szCs w:val="18"/>
              </w:rPr>
              <w:t xml:space="preserve">Reporting integrity </w:t>
            </w:r>
          </w:p>
        </w:tc>
        <w:tc>
          <w:tcPr>
            <w:tcW w:w="2269" w:type="dxa"/>
          </w:tcPr>
          <w:p w14:paraId="2C5000DE" w14:textId="3297E30C" w:rsidR="00E00CB1" w:rsidRPr="00E51820" w:rsidRDefault="00E00CB1" w:rsidP="00E51820">
            <w:pPr>
              <w:pStyle w:val="Tablebullet"/>
              <w:cnfStyle w:val="000000100000" w:firstRow="0" w:lastRow="0" w:firstColumn="0" w:lastColumn="0" w:oddVBand="0" w:evenVBand="0" w:oddHBand="1" w:evenHBand="0" w:firstRowFirstColumn="0" w:firstRowLastColumn="0" w:lastRowFirstColumn="0" w:lastRowLastColumn="0"/>
            </w:pPr>
            <w:r w:rsidRPr="00E51820">
              <w:t>A</w:t>
            </w:r>
            <w:r w:rsidR="009A0F7B" w:rsidRPr="00E51820">
              <w:t>ccuracy</w:t>
            </w:r>
            <w:r w:rsidR="00F9703D" w:rsidRPr="00E51820">
              <w:t>.</w:t>
            </w:r>
          </w:p>
          <w:p w14:paraId="05D581A1" w14:textId="07EE21FF" w:rsidR="00E00CB1" w:rsidRPr="00E51820" w:rsidRDefault="00E00CB1" w:rsidP="00E51820">
            <w:pPr>
              <w:pStyle w:val="Tablebullet"/>
              <w:cnfStyle w:val="000000100000" w:firstRow="0" w:lastRow="0" w:firstColumn="0" w:lastColumn="0" w:oddVBand="0" w:evenVBand="0" w:oddHBand="1" w:evenHBand="0" w:firstRowFirstColumn="0" w:firstRowLastColumn="0" w:lastRowFirstColumn="0" w:lastRowLastColumn="0"/>
            </w:pPr>
            <w:r w:rsidRPr="00E51820">
              <w:t>D</w:t>
            </w:r>
            <w:r w:rsidR="009A0F7B" w:rsidRPr="00E51820">
              <w:t>ata integrity</w:t>
            </w:r>
            <w:r w:rsidR="00F9703D" w:rsidRPr="00E51820">
              <w:t>.</w:t>
            </w:r>
            <w:r w:rsidR="009A0F7B" w:rsidRPr="00E51820">
              <w:t xml:space="preserve"> </w:t>
            </w:r>
          </w:p>
          <w:p w14:paraId="5C240ED0" w14:textId="559AF6EC" w:rsidR="009A0F7B" w:rsidRPr="00E51820" w:rsidRDefault="00E00CB1" w:rsidP="00E51820">
            <w:pPr>
              <w:pStyle w:val="Tablebullet"/>
              <w:cnfStyle w:val="000000100000" w:firstRow="0" w:lastRow="0" w:firstColumn="0" w:lastColumn="0" w:oddVBand="0" w:evenVBand="0" w:oddHBand="1" w:evenHBand="0" w:firstRowFirstColumn="0" w:firstRowLastColumn="0" w:lastRowFirstColumn="0" w:lastRowLastColumn="0"/>
            </w:pPr>
            <w:r w:rsidRPr="00E51820">
              <w:t>A</w:t>
            </w:r>
            <w:r w:rsidR="009A0F7B" w:rsidRPr="00E51820">
              <w:t>void hallucinations</w:t>
            </w:r>
            <w:r w:rsidR="00F9703D" w:rsidRPr="00E51820">
              <w:t>.</w:t>
            </w:r>
          </w:p>
        </w:tc>
        <w:tc>
          <w:tcPr>
            <w:tcW w:w="5658" w:type="dxa"/>
          </w:tcPr>
          <w:p w14:paraId="7FF912C1" w14:textId="6DC92A21"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How do we measure</w:t>
            </w:r>
            <w:r w:rsidR="008F05EA" w:rsidRPr="00E51820">
              <w:t xml:space="preserve"> and monitor</w:t>
            </w:r>
            <w:r w:rsidRPr="00E51820">
              <w:t xml:space="preserve"> Model Drift or Concept Drift? </w:t>
            </w:r>
          </w:p>
          <w:p w14:paraId="11516C81" w14:textId="77777777"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How are you alerted if the distribution of live data deviates from training data?</w:t>
            </w:r>
          </w:p>
          <w:p w14:paraId="7BBC4409" w14:textId="77777777"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 xml:space="preserve">Do we have a 'Golden Dataset' or 'Ground Truth' to benchmark the model's accuracy? </w:t>
            </w:r>
          </w:p>
          <w:p w14:paraId="008B0FCC" w14:textId="77777777"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How do we validate non-deterministic (probabilistic) outputs?</w:t>
            </w:r>
          </w:p>
          <w:p w14:paraId="30C8083B" w14:textId="733459C0" w:rsidR="009A0F7B" w:rsidRPr="00E51820" w:rsidRDefault="009C5DE2" w:rsidP="00E51820">
            <w:pPr>
              <w:pStyle w:val="Tablebullet"/>
              <w:cnfStyle w:val="000000100000" w:firstRow="0" w:lastRow="0" w:firstColumn="0" w:lastColumn="0" w:oddVBand="0" w:evenVBand="0" w:oddHBand="1" w:evenHBand="0" w:firstRowFirstColumn="0" w:firstRowLastColumn="0" w:lastRowFirstColumn="0" w:lastRowLastColumn="0"/>
            </w:pPr>
            <w:r w:rsidRPr="00E51820">
              <w:t>What processes and metrics do we</w:t>
            </w:r>
            <w:r w:rsidR="006F5EB6" w:rsidRPr="00E51820">
              <w:t xml:space="preserve"> </w:t>
            </w:r>
            <w:r w:rsidRPr="00E51820">
              <w:t>use to evaluate RAG systems</w:t>
            </w:r>
            <w:r w:rsidR="000E2C85" w:rsidRPr="00E51820">
              <w:t xml:space="preserve"> to </w:t>
            </w:r>
            <w:r w:rsidR="00281E4C" w:rsidRPr="00E51820">
              <w:t xml:space="preserve">measure </w:t>
            </w:r>
            <w:r w:rsidRPr="00E51820">
              <w:t>faithfulness (</w:t>
            </w:r>
            <w:r w:rsidR="00B002D4" w:rsidRPr="00E51820">
              <w:t xml:space="preserve">i.e. </w:t>
            </w:r>
            <w:r w:rsidR="007E6C5D" w:rsidRPr="00E51820">
              <w:t xml:space="preserve">the answer </w:t>
            </w:r>
            <w:r w:rsidRPr="00E51820">
              <w:t xml:space="preserve">accuracy against source context) </w:t>
            </w:r>
            <w:r w:rsidR="000432E8" w:rsidRPr="00E51820">
              <w:t>compared to</w:t>
            </w:r>
            <w:r w:rsidRPr="00E51820">
              <w:t xml:space="preserve"> measures of answer relevance (</w:t>
            </w:r>
            <w:r w:rsidR="000432E8" w:rsidRPr="00E51820">
              <w:t xml:space="preserve">i.e. </w:t>
            </w:r>
            <w:r w:rsidRPr="00E51820">
              <w:t>usefulness to the query)</w:t>
            </w:r>
            <w:r w:rsidR="00C1065C" w:rsidRPr="00E51820">
              <w:t>, and w</w:t>
            </w:r>
            <w:r w:rsidR="009A0F7B" w:rsidRPr="00E51820">
              <w:t>hat is the threshold for acceptable error?</w:t>
            </w:r>
          </w:p>
          <w:p w14:paraId="5B071411" w14:textId="382E58C7" w:rsidR="009A0F7B" w:rsidRPr="00E51820"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E51820">
              <w:t xml:space="preserve">How do we trace a specific model decision back to the </w:t>
            </w:r>
            <w:r w:rsidR="00BB28CC" w:rsidRPr="00E51820">
              <w:t>version</w:t>
            </w:r>
            <w:r w:rsidRPr="00E51820">
              <w:t xml:space="preserve"> of the dataset it was trained on?</w:t>
            </w:r>
          </w:p>
        </w:tc>
      </w:tr>
      <w:tr w:rsidR="009A0F7B" w:rsidRPr="009A0F7B" w14:paraId="5034ECE7" w14:textId="77777777" w:rsidTr="00E51820">
        <w:tc>
          <w:tcPr>
            <w:cnfStyle w:val="001000000000" w:firstRow="0" w:lastRow="0" w:firstColumn="1" w:lastColumn="0" w:oddVBand="0" w:evenVBand="0" w:oddHBand="0" w:evenHBand="0" w:firstRowFirstColumn="0" w:firstRowLastColumn="0" w:lastRowFirstColumn="0" w:lastRowLastColumn="0"/>
            <w:tcW w:w="1695" w:type="dxa"/>
          </w:tcPr>
          <w:p w14:paraId="58D6D935" w14:textId="414E4C6E" w:rsidR="009A0F7B" w:rsidRPr="009A0F7B" w:rsidRDefault="009A0F7B" w:rsidP="00E02ECC">
            <w:pPr>
              <w:rPr>
                <w:sz w:val="18"/>
                <w:szCs w:val="18"/>
              </w:rPr>
            </w:pPr>
            <w:r w:rsidRPr="009A0F7B">
              <w:rPr>
                <w:sz w:val="18"/>
                <w:szCs w:val="18"/>
              </w:rPr>
              <w:t xml:space="preserve">Compliance </w:t>
            </w:r>
          </w:p>
        </w:tc>
        <w:tc>
          <w:tcPr>
            <w:tcW w:w="2269" w:type="dxa"/>
          </w:tcPr>
          <w:p w14:paraId="3CEE278A" w14:textId="2CB5A83E" w:rsidR="00CA2056" w:rsidRDefault="00CA2056" w:rsidP="00E51820">
            <w:pPr>
              <w:pStyle w:val="Tablebullet"/>
              <w:cnfStyle w:val="000000000000" w:firstRow="0" w:lastRow="0" w:firstColumn="0" w:lastColumn="0" w:oddVBand="0" w:evenVBand="0" w:oddHBand="0" w:evenHBand="0" w:firstRowFirstColumn="0" w:firstRowLastColumn="0" w:lastRowFirstColumn="0" w:lastRowLastColumn="0"/>
            </w:pPr>
            <w:r>
              <w:t>L</w:t>
            </w:r>
            <w:r w:rsidR="009A0F7B" w:rsidRPr="009A0F7B">
              <w:t>egal boundaries</w:t>
            </w:r>
            <w:r w:rsidR="00645665">
              <w:t>.</w:t>
            </w:r>
          </w:p>
          <w:p w14:paraId="5D794197" w14:textId="50042099" w:rsidR="009A0F7B" w:rsidRPr="009A0F7B" w:rsidRDefault="00CA2056" w:rsidP="00E51820">
            <w:pPr>
              <w:pStyle w:val="Tablebullet"/>
              <w:cnfStyle w:val="000000000000" w:firstRow="0" w:lastRow="0" w:firstColumn="0" w:lastColumn="0" w:oddVBand="0" w:evenVBand="0" w:oddHBand="0" w:evenHBand="0" w:firstRowFirstColumn="0" w:firstRowLastColumn="0" w:lastRowFirstColumn="0" w:lastRowLastColumn="0"/>
            </w:pPr>
            <w:r>
              <w:t>R</w:t>
            </w:r>
            <w:r w:rsidR="009A0F7B" w:rsidRPr="009A0F7B">
              <w:t>egulat</w:t>
            </w:r>
            <w:r>
              <w:t>ory compliance</w:t>
            </w:r>
            <w:r w:rsidR="00645665">
              <w:t>.</w:t>
            </w:r>
            <w:r w:rsidR="009A0F7B" w:rsidRPr="009A0F7B">
              <w:t xml:space="preserve"> </w:t>
            </w:r>
          </w:p>
        </w:tc>
        <w:tc>
          <w:tcPr>
            <w:tcW w:w="5658" w:type="dxa"/>
          </w:tcPr>
          <w:p w14:paraId="7F0B7041" w14:textId="77777777" w:rsidR="009A0F7B" w:rsidRPr="009A0F7B" w:rsidRDefault="009A0F7B" w:rsidP="00E51820">
            <w:pPr>
              <w:pStyle w:val="Tablebullet"/>
              <w:cnfStyle w:val="000000000000" w:firstRow="0" w:lastRow="0" w:firstColumn="0" w:lastColumn="0" w:oddVBand="0" w:evenVBand="0" w:oddHBand="0" w:evenHBand="0" w:firstRowFirstColumn="0" w:firstRowLastColumn="0" w:lastRowFirstColumn="0" w:lastRowLastColumn="0"/>
            </w:pPr>
            <w:r w:rsidRPr="009A0F7B">
              <w:t>Have we mapped this model against the EU AI Act risk categories?</w:t>
            </w:r>
          </w:p>
          <w:p w14:paraId="74DE692B" w14:textId="30B897EB" w:rsidR="009A0F7B" w:rsidRPr="009A0F7B" w:rsidRDefault="009A0F7B" w:rsidP="00E51820">
            <w:pPr>
              <w:pStyle w:val="Tablebullet"/>
              <w:cnfStyle w:val="000000000000" w:firstRow="0" w:lastRow="0" w:firstColumn="0" w:lastColumn="0" w:oddVBand="0" w:evenVBand="0" w:oddHBand="0" w:evenHBand="0" w:firstRowFirstColumn="0" w:firstRowLastColumn="0" w:lastRowFirstColumn="0" w:lastRowLastColumn="0"/>
            </w:pPr>
            <w:r w:rsidRPr="009A0F7B">
              <w:t xml:space="preserve">If a user exercises their </w:t>
            </w:r>
            <w:r w:rsidR="004E6E6F" w:rsidRPr="004E6E6F">
              <w:t>Protection of Personal Information Act (</w:t>
            </w:r>
            <w:r w:rsidR="00553644" w:rsidRPr="004E6E6F">
              <w:t xml:space="preserve">POPIA) </w:t>
            </w:r>
            <w:r w:rsidR="00553644">
              <w:t>or</w:t>
            </w:r>
            <w:r w:rsidR="004E6E6F">
              <w:t xml:space="preserve"> </w:t>
            </w:r>
            <w:r w:rsidRPr="009A0F7B">
              <w:t>GDPR</w:t>
            </w:r>
            <w:r w:rsidR="00977922">
              <w:t xml:space="preserve"> (General Data Pro</w:t>
            </w:r>
            <w:r w:rsidR="00320FCA">
              <w:t xml:space="preserve">tection </w:t>
            </w:r>
            <w:r w:rsidR="004E6E6F">
              <w:t>Regulation</w:t>
            </w:r>
            <w:r w:rsidR="00320FCA">
              <w:t>)</w:t>
            </w:r>
            <w:r w:rsidRPr="009A0F7B">
              <w:t xml:space="preserve"> right to deletion, how do we remove their data from the vector database?</w:t>
            </w:r>
          </w:p>
          <w:p w14:paraId="4AB10A4F" w14:textId="77777777" w:rsidR="00D548E6" w:rsidRDefault="009A0F7B" w:rsidP="00E51820">
            <w:pPr>
              <w:pStyle w:val="Tablebullet"/>
              <w:cnfStyle w:val="000000000000" w:firstRow="0" w:lastRow="0" w:firstColumn="0" w:lastColumn="0" w:oddVBand="0" w:evenVBand="0" w:oddHBand="0" w:evenHBand="0" w:firstRowFirstColumn="0" w:firstRowLastColumn="0" w:lastRowFirstColumn="0" w:lastRowLastColumn="0"/>
            </w:pPr>
            <w:r w:rsidRPr="009A0F7B">
              <w:t xml:space="preserve">Do we have indemnification from our </w:t>
            </w:r>
            <w:r w:rsidR="00553644">
              <w:t>Large Language Model (</w:t>
            </w:r>
            <w:r w:rsidRPr="009A0F7B">
              <w:t>LLM</w:t>
            </w:r>
            <w:r w:rsidR="00553644">
              <w:t>)</w:t>
            </w:r>
            <w:r w:rsidRPr="009A0F7B">
              <w:t xml:space="preserve"> provider regarding copyright infringement? </w:t>
            </w:r>
          </w:p>
          <w:p w14:paraId="6402D683" w14:textId="330B76AE" w:rsidR="00AC195D" w:rsidRDefault="007573FA" w:rsidP="00E51820">
            <w:pPr>
              <w:pStyle w:val="Tablebullet"/>
              <w:cnfStyle w:val="000000000000" w:firstRow="0" w:lastRow="0" w:firstColumn="0" w:lastColumn="0" w:oddVBand="0" w:evenVBand="0" w:oddHBand="0" w:evenHBand="0" w:firstRowFirstColumn="0" w:firstRowLastColumn="0" w:lastRowFirstColumn="0" w:lastRowLastColumn="0"/>
            </w:pPr>
            <w:r w:rsidRPr="007573FA">
              <w:t>What controls do</w:t>
            </w:r>
            <w:r w:rsidR="00D548E6">
              <w:t xml:space="preserve"> we</w:t>
            </w:r>
            <w:r w:rsidRPr="007573FA">
              <w:t xml:space="preserve"> have in place to </w:t>
            </w:r>
            <w:r w:rsidR="00396D7F">
              <w:t xml:space="preserve">prevent </w:t>
            </w:r>
            <w:r w:rsidR="00A23285">
              <w:t>copyrighted information from being included in</w:t>
            </w:r>
            <w:r w:rsidRPr="007573FA">
              <w:t xml:space="preserve"> datasets used </w:t>
            </w:r>
            <w:r w:rsidR="00396D7F">
              <w:t>to</w:t>
            </w:r>
            <w:r w:rsidRPr="007573FA">
              <w:t xml:space="preserve"> fine</w:t>
            </w:r>
            <w:r w:rsidRPr="000527F5">
              <w:rPr>
                <w:rFonts w:ascii="Cambria Math" w:hAnsi="Cambria Math" w:cs="Cambria Math"/>
              </w:rPr>
              <w:t>‑</w:t>
            </w:r>
            <w:r w:rsidRPr="007573FA">
              <w:t>tun</w:t>
            </w:r>
            <w:r w:rsidR="00396D7F">
              <w:t>e</w:t>
            </w:r>
            <w:r w:rsidRPr="007573FA">
              <w:t xml:space="preserve"> Large Language Models (LLMs</w:t>
            </w:r>
            <w:r w:rsidR="00696242">
              <w:t>?</w:t>
            </w:r>
            <w:r w:rsidR="000527F5">
              <w:t xml:space="preserve"> </w:t>
            </w:r>
          </w:p>
          <w:p w14:paraId="7A7966B4" w14:textId="77777777" w:rsidR="00D95924" w:rsidRDefault="000527F5" w:rsidP="00E51820">
            <w:pPr>
              <w:pStyle w:val="Tablebullet"/>
              <w:cnfStyle w:val="000000000000" w:firstRow="0" w:lastRow="0" w:firstColumn="0" w:lastColumn="0" w:oddVBand="0" w:evenVBand="0" w:oddHBand="0" w:evenHBand="0" w:firstRowFirstColumn="0" w:firstRowLastColumn="0" w:lastRowFirstColumn="0" w:lastRowLastColumn="0"/>
            </w:pPr>
            <w:r w:rsidRPr="000527F5">
              <w:t>How do we ensure that model inference activities are executed only within regions that comply with applicable data residency laws</w:t>
            </w:r>
            <w:r w:rsidR="00D95924">
              <w:t>?</w:t>
            </w:r>
          </w:p>
          <w:p w14:paraId="4557B12D" w14:textId="6C16113C" w:rsidR="009A0F7B" w:rsidRPr="009A0F7B" w:rsidRDefault="00D95924" w:rsidP="00E51820">
            <w:pPr>
              <w:pStyle w:val="Tablebullet"/>
              <w:cnfStyle w:val="000000000000" w:firstRow="0" w:lastRow="0" w:firstColumn="0" w:lastColumn="0" w:oddVBand="0" w:evenVBand="0" w:oddHBand="0" w:evenHBand="0" w:firstRowFirstColumn="0" w:firstRowLastColumn="0" w:lastRowFirstColumn="0" w:lastRowLastColumn="0"/>
            </w:pPr>
            <w:r>
              <w:t>H</w:t>
            </w:r>
            <w:r w:rsidR="000527F5" w:rsidRPr="000527F5">
              <w:t xml:space="preserve">ow is compliance with geographic </w:t>
            </w:r>
            <w:r w:rsidR="00E658B6">
              <w:t xml:space="preserve">data residency </w:t>
            </w:r>
            <w:r w:rsidR="000527F5" w:rsidRPr="000527F5">
              <w:t>restrictions monitored and enforced?</w:t>
            </w:r>
          </w:p>
        </w:tc>
      </w:tr>
      <w:tr w:rsidR="009A0F7B" w:rsidRPr="009A0F7B" w14:paraId="25B8CCA1" w14:textId="77777777" w:rsidTr="00E51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tcPr>
          <w:p w14:paraId="5FC7AE09" w14:textId="750D94B5" w:rsidR="009A0F7B" w:rsidRPr="009A0F7B" w:rsidRDefault="009A0F7B" w:rsidP="00E02ECC">
            <w:pPr>
              <w:rPr>
                <w:b w:val="0"/>
                <w:bCs w:val="0"/>
                <w:sz w:val="18"/>
                <w:szCs w:val="18"/>
              </w:rPr>
            </w:pPr>
            <w:r w:rsidRPr="009A0F7B">
              <w:rPr>
                <w:sz w:val="18"/>
                <w:szCs w:val="18"/>
              </w:rPr>
              <w:t xml:space="preserve">Ethical application </w:t>
            </w:r>
          </w:p>
        </w:tc>
        <w:tc>
          <w:tcPr>
            <w:tcW w:w="2269" w:type="dxa"/>
          </w:tcPr>
          <w:p w14:paraId="243AF5C8" w14:textId="496371C3" w:rsidR="007C05D9" w:rsidRDefault="007C05D9" w:rsidP="00E51820">
            <w:pPr>
              <w:pStyle w:val="Tablebullet"/>
              <w:cnfStyle w:val="000000100000" w:firstRow="0" w:lastRow="0" w:firstColumn="0" w:lastColumn="0" w:oddVBand="0" w:evenVBand="0" w:oddHBand="1" w:evenHBand="0" w:firstRowFirstColumn="0" w:firstRowLastColumn="0" w:lastRowFirstColumn="0" w:lastRowLastColumn="0"/>
            </w:pPr>
            <w:r>
              <w:t>M</w:t>
            </w:r>
            <w:r w:rsidR="009A0F7B" w:rsidRPr="009A0F7B">
              <w:t>inimising bias</w:t>
            </w:r>
            <w:r w:rsidR="00645665">
              <w:t>.</w:t>
            </w:r>
          </w:p>
          <w:p w14:paraId="4E240C6B" w14:textId="07101A10" w:rsidR="007C05D9" w:rsidRDefault="007C05D9" w:rsidP="00E51820">
            <w:pPr>
              <w:pStyle w:val="Tablebullet"/>
              <w:cnfStyle w:val="000000100000" w:firstRow="0" w:lastRow="0" w:firstColumn="0" w:lastColumn="0" w:oddVBand="0" w:evenVBand="0" w:oddHBand="1" w:evenHBand="0" w:firstRowFirstColumn="0" w:firstRowLastColumn="0" w:lastRowFirstColumn="0" w:lastRowLastColumn="0"/>
            </w:pPr>
            <w:r>
              <w:t>E</w:t>
            </w:r>
            <w:r w:rsidR="009A0F7B" w:rsidRPr="009A0F7B">
              <w:t>nsuring fairness</w:t>
            </w:r>
            <w:r w:rsidR="00645665">
              <w:t>.</w:t>
            </w:r>
          </w:p>
          <w:p w14:paraId="794C4DD9" w14:textId="0FC49196" w:rsidR="007C05D9" w:rsidRDefault="007C05D9" w:rsidP="00E51820">
            <w:pPr>
              <w:pStyle w:val="Tablebullet"/>
              <w:cnfStyle w:val="000000100000" w:firstRow="0" w:lastRow="0" w:firstColumn="0" w:lastColumn="0" w:oddVBand="0" w:evenVBand="0" w:oddHBand="1" w:evenHBand="0" w:firstRowFirstColumn="0" w:firstRowLastColumn="0" w:lastRowFirstColumn="0" w:lastRowLastColumn="0"/>
            </w:pPr>
            <w:r>
              <w:t>H</w:t>
            </w:r>
            <w:r w:rsidR="009A0F7B" w:rsidRPr="009A0F7B">
              <w:t>uman oversight</w:t>
            </w:r>
            <w:r w:rsidR="00645665">
              <w:t>.</w:t>
            </w:r>
            <w:r w:rsidR="009A0F7B" w:rsidRPr="009A0F7B">
              <w:t xml:space="preserve"> </w:t>
            </w:r>
          </w:p>
          <w:p w14:paraId="0A6C722E" w14:textId="0311DCB2" w:rsidR="009A0F7B" w:rsidRPr="009A0F7B" w:rsidRDefault="007C05D9" w:rsidP="00E51820">
            <w:pPr>
              <w:pStyle w:val="Tablebullet"/>
              <w:cnfStyle w:val="000000100000" w:firstRow="0" w:lastRow="0" w:firstColumn="0" w:lastColumn="0" w:oddVBand="0" w:evenVBand="0" w:oddHBand="1" w:evenHBand="0" w:firstRowFirstColumn="0" w:firstRowLastColumn="0" w:lastRowFirstColumn="0" w:lastRowLastColumn="0"/>
            </w:pPr>
            <w:r>
              <w:t>T</w:t>
            </w:r>
            <w:r w:rsidR="009A0F7B" w:rsidRPr="009A0F7B">
              <w:t>ransparency</w:t>
            </w:r>
            <w:r w:rsidR="00645665">
              <w:t>.</w:t>
            </w:r>
          </w:p>
        </w:tc>
        <w:tc>
          <w:tcPr>
            <w:tcW w:w="5658" w:type="dxa"/>
          </w:tcPr>
          <w:p w14:paraId="74AE96FC" w14:textId="77777777" w:rsidR="00B06168"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9A0F7B">
              <w:t xml:space="preserve">How is the model tested </w:t>
            </w:r>
            <w:r w:rsidR="00C10C86">
              <w:t>t</w:t>
            </w:r>
            <w:r w:rsidR="0050651E" w:rsidRPr="0050651E">
              <w:t xml:space="preserve">o evaluate whether </w:t>
            </w:r>
            <w:r w:rsidR="00C10C86">
              <w:t>it</w:t>
            </w:r>
            <w:r w:rsidR="0050651E" w:rsidRPr="0050651E">
              <w:t xml:space="preserve"> produce</w:t>
            </w:r>
            <w:r w:rsidR="00C10C86">
              <w:t>s</w:t>
            </w:r>
            <w:r w:rsidR="0050651E" w:rsidRPr="0050651E">
              <w:t xml:space="preserve"> outcomes that result in disparate impact across protected classes (such as race or gender)</w:t>
            </w:r>
            <w:r w:rsidR="00B06168">
              <w:t>?</w:t>
            </w:r>
          </w:p>
          <w:p w14:paraId="7B4C1A0B" w14:textId="6FEB6541" w:rsidR="0050651E" w:rsidRDefault="00B06168" w:rsidP="00E51820">
            <w:pPr>
              <w:pStyle w:val="Tablebullet"/>
              <w:cnfStyle w:val="000000100000" w:firstRow="0" w:lastRow="0" w:firstColumn="0" w:lastColumn="0" w:oddVBand="0" w:evenVBand="0" w:oddHBand="1" w:evenHBand="0" w:firstRowFirstColumn="0" w:firstRowLastColumn="0" w:lastRowFirstColumn="0" w:lastRowLastColumn="0"/>
            </w:pPr>
            <w:r>
              <w:t>H</w:t>
            </w:r>
            <w:r w:rsidR="0050651E" w:rsidRPr="0050651E">
              <w:t>ow is testing performed to ensure fairness and compliance with anti</w:t>
            </w:r>
            <w:r w:rsidR="0050651E" w:rsidRPr="0050651E">
              <w:rPr>
                <w:rFonts w:ascii="Cambria Math" w:hAnsi="Cambria Math" w:cs="Cambria Math"/>
              </w:rPr>
              <w:t>‑</w:t>
            </w:r>
            <w:r w:rsidR="0050651E" w:rsidRPr="0050651E">
              <w:t>discrimination requirements?</w:t>
            </w:r>
          </w:p>
          <w:p w14:paraId="0B06431D" w14:textId="612F556D" w:rsidR="00E658B6" w:rsidRDefault="00555C27" w:rsidP="00E51820">
            <w:pPr>
              <w:pStyle w:val="Tablebullet"/>
              <w:cnfStyle w:val="000000100000" w:firstRow="0" w:lastRow="0" w:firstColumn="0" w:lastColumn="0" w:oddVBand="0" w:evenVBand="0" w:oddHBand="1" w:evenHBand="0" w:firstRowFirstColumn="0" w:firstRowLastColumn="0" w:lastRowFirstColumn="0" w:lastRowLastColumn="0"/>
            </w:pPr>
            <w:r w:rsidRPr="00555C27">
              <w:t xml:space="preserve">What fairness metric has </w:t>
            </w:r>
            <w:r w:rsidR="00536058">
              <w:t xml:space="preserve">been </w:t>
            </w:r>
            <w:r w:rsidRPr="00555C27">
              <w:t>selected to guide model development and evaluation</w:t>
            </w:r>
            <w:r w:rsidR="0039158C">
              <w:t>?</w:t>
            </w:r>
          </w:p>
          <w:p w14:paraId="42A98A39" w14:textId="262E676F" w:rsidR="0039158C" w:rsidRDefault="0039158C" w:rsidP="00E51820">
            <w:pPr>
              <w:pStyle w:val="Tablebullet"/>
              <w:cnfStyle w:val="000000100000" w:firstRow="0" w:lastRow="0" w:firstColumn="0" w:lastColumn="0" w:oddVBand="0" w:evenVBand="0" w:oddHBand="1" w:evenHBand="0" w:firstRowFirstColumn="0" w:firstRowLastColumn="0" w:lastRowFirstColumn="0" w:lastRowLastColumn="0"/>
            </w:pPr>
            <w:r>
              <w:t>What are the objectives of the fairness metric?</w:t>
            </w:r>
          </w:p>
          <w:p w14:paraId="4D37726D" w14:textId="5D42CAFD" w:rsidR="00536058" w:rsidRDefault="00E658B6" w:rsidP="00E51820">
            <w:pPr>
              <w:pStyle w:val="Tablebullet"/>
              <w:cnfStyle w:val="000000100000" w:firstRow="0" w:lastRow="0" w:firstColumn="0" w:lastColumn="0" w:oddVBand="0" w:evenVBand="0" w:oddHBand="1" w:evenHBand="0" w:firstRowFirstColumn="0" w:firstRowLastColumn="0" w:lastRowFirstColumn="0" w:lastRowLastColumn="0"/>
            </w:pPr>
            <w:r>
              <w:t xml:space="preserve">How is the </w:t>
            </w:r>
            <w:r w:rsidR="00E95834">
              <w:t xml:space="preserve">choice of the </w:t>
            </w:r>
            <w:r>
              <w:t>fairness metric</w:t>
            </w:r>
            <w:r w:rsidR="00555C27" w:rsidRPr="00555C27">
              <w:t xml:space="preserve"> justified, documented and monitored to ensure outcomes align with fairness objectives and regulatory requirements?</w:t>
            </w:r>
          </w:p>
          <w:p w14:paraId="7BE9F7C8" w14:textId="77777777" w:rsidR="0030009E"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9A0F7B">
              <w:t xml:space="preserve">How are users trained to challenge AI outputs? </w:t>
            </w:r>
          </w:p>
          <w:p w14:paraId="7BB6118C" w14:textId="77777777" w:rsidR="00B06168" w:rsidRDefault="0030009E" w:rsidP="00E51820">
            <w:pPr>
              <w:pStyle w:val="Tablebullet"/>
              <w:cnfStyle w:val="000000100000" w:firstRow="0" w:lastRow="0" w:firstColumn="0" w:lastColumn="0" w:oddVBand="0" w:evenVBand="0" w:oddHBand="1" w:evenHBand="0" w:firstRowFirstColumn="0" w:firstRowLastColumn="0" w:lastRowFirstColumn="0" w:lastRowLastColumn="0"/>
            </w:pPr>
            <w:r>
              <w:lastRenderedPageBreak/>
              <w:t>At what points in the decision</w:t>
            </w:r>
            <w:r w:rsidRPr="00A815DF">
              <w:rPr>
                <w:rFonts w:ascii="Cambria Math" w:hAnsi="Cambria Math" w:cs="Cambria Math"/>
              </w:rPr>
              <w:t>‑</w:t>
            </w:r>
            <w:r>
              <w:t>making process do we require human oversight or intervention (</w:t>
            </w:r>
            <w:r w:rsidRPr="0030009E">
              <w:t>‘</w:t>
            </w:r>
            <w:r>
              <w:t>Human</w:t>
            </w:r>
            <w:r w:rsidRPr="00A815DF">
              <w:rPr>
                <w:rFonts w:ascii="Cambria Math" w:hAnsi="Cambria Math" w:cs="Cambria Math"/>
              </w:rPr>
              <w:t>‑</w:t>
            </w:r>
            <w:r>
              <w:t>in</w:t>
            </w:r>
            <w:r w:rsidRPr="00A815DF">
              <w:rPr>
                <w:rFonts w:ascii="Cambria Math" w:hAnsi="Cambria Math" w:cs="Cambria Math"/>
              </w:rPr>
              <w:t>‑</w:t>
            </w:r>
            <w:r>
              <w:t>the</w:t>
            </w:r>
            <w:r w:rsidRPr="00A815DF">
              <w:rPr>
                <w:rFonts w:ascii="Cambria Math" w:hAnsi="Cambria Math" w:cs="Cambria Math"/>
              </w:rPr>
              <w:t>‑</w:t>
            </w:r>
            <w:r>
              <w:t>Loop</w:t>
            </w:r>
            <w:r w:rsidRPr="0030009E">
              <w:t>’</w:t>
            </w:r>
            <w:r>
              <w:t>) for high</w:t>
            </w:r>
            <w:r w:rsidRPr="00A815DF">
              <w:rPr>
                <w:rFonts w:ascii="Cambria Math" w:hAnsi="Cambria Math" w:cs="Cambria Math"/>
              </w:rPr>
              <w:t>‑</w:t>
            </w:r>
            <w:r>
              <w:t>stakes decisions</w:t>
            </w:r>
            <w:r w:rsidR="00B06168">
              <w:t>?</w:t>
            </w:r>
          </w:p>
          <w:p w14:paraId="2E6172F1" w14:textId="3D6EBC75" w:rsidR="003660D9" w:rsidRDefault="00B06168" w:rsidP="00E51820">
            <w:pPr>
              <w:pStyle w:val="Tablebullet"/>
              <w:cnfStyle w:val="000000100000" w:firstRow="0" w:lastRow="0" w:firstColumn="0" w:lastColumn="0" w:oddVBand="0" w:evenVBand="0" w:oddHBand="1" w:evenHBand="0" w:firstRowFirstColumn="0" w:firstRowLastColumn="0" w:lastRowFirstColumn="0" w:lastRowLastColumn="0"/>
            </w:pPr>
            <w:r>
              <w:t>H</w:t>
            </w:r>
            <w:r w:rsidR="0030009E">
              <w:t>ow are these controls documented and enforced to ensure accountability and compliance?</w:t>
            </w:r>
          </w:p>
          <w:p w14:paraId="497FF4D2" w14:textId="77777777" w:rsidR="00B06168" w:rsidRDefault="00A815DF" w:rsidP="00E51820">
            <w:pPr>
              <w:pStyle w:val="Tablebullet"/>
              <w:cnfStyle w:val="000000100000" w:firstRow="0" w:lastRow="0" w:firstColumn="0" w:lastColumn="0" w:oddVBand="0" w:evenVBand="0" w:oddHBand="1" w:evenHBand="0" w:firstRowFirstColumn="0" w:firstRowLastColumn="0" w:lastRowFirstColumn="0" w:lastRowLastColumn="0"/>
            </w:pPr>
            <w:r w:rsidRPr="00A815DF">
              <w:t>How do we ensure that disclosures are made when humans are interacting with an AI system</w:t>
            </w:r>
            <w:r w:rsidR="00B06168">
              <w:t>?</w:t>
            </w:r>
          </w:p>
          <w:p w14:paraId="54A8BE33" w14:textId="489EC7B3" w:rsidR="0030009E" w:rsidRDefault="00B06168" w:rsidP="00E51820">
            <w:pPr>
              <w:pStyle w:val="Tablebullet"/>
              <w:cnfStyle w:val="000000100000" w:firstRow="0" w:lastRow="0" w:firstColumn="0" w:lastColumn="0" w:oddVBand="0" w:evenVBand="0" w:oddHBand="1" w:evenHBand="0" w:firstRowFirstColumn="0" w:firstRowLastColumn="0" w:lastRowFirstColumn="0" w:lastRowLastColumn="0"/>
            </w:pPr>
            <w:r>
              <w:t>H</w:t>
            </w:r>
            <w:r w:rsidR="00A815DF" w:rsidRPr="00A815DF">
              <w:t>ow is this transparency documented and communicated to users in line with regulatory and ethical requirements?</w:t>
            </w:r>
          </w:p>
          <w:p w14:paraId="15BDEC74" w14:textId="77777777" w:rsidR="009A0F7B" w:rsidRPr="009A0F7B"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9A0F7B">
              <w:t>Can we explain why the model made a specific prediction?</w:t>
            </w:r>
          </w:p>
          <w:p w14:paraId="7D64F931" w14:textId="3224D956" w:rsidR="009A0F7B" w:rsidRPr="009A0F7B" w:rsidRDefault="009A0F7B" w:rsidP="00E51820">
            <w:pPr>
              <w:pStyle w:val="Tablebullet"/>
              <w:cnfStyle w:val="000000100000" w:firstRow="0" w:lastRow="0" w:firstColumn="0" w:lastColumn="0" w:oddVBand="0" w:evenVBand="0" w:oddHBand="1" w:evenHBand="0" w:firstRowFirstColumn="0" w:firstRowLastColumn="0" w:lastRowFirstColumn="0" w:lastRowLastColumn="0"/>
            </w:pPr>
            <w:r w:rsidRPr="009A0F7B">
              <w:t>Are ethical guidelines for AI usage formally documented and communicated to all employees?</w:t>
            </w:r>
          </w:p>
        </w:tc>
      </w:tr>
    </w:tbl>
    <w:p w14:paraId="51A9C9DC" w14:textId="0CA627F7" w:rsidR="00E4269B" w:rsidRDefault="00E4269B" w:rsidP="009A0F7B"/>
    <w:p w14:paraId="7B89E755" w14:textId="1758BD98" w:rsidR="00FB61F0" w:rsidRDefault="00206521" w:rsidP="00206521">
      <w:pPr>
        <w:pStyle w:val="Heading4"/>
      </w:pPr>
      <w:r>
        <w:t>Conduct a comprehensive risk assessment</w:t>
      </w:r>
    </w:p>
    <w:p w14:paraId="57DCB912" w14:textId="181812F2" w:rsidR="00015225" w:rsidRDefault="00772660" w:rsidP="004C75FF">
      <w:r>
        <w:t>A comprehensive</w:t>
      </w:r>
      <w:r w:rsidRPr="00F71F11">
        <w:t xml:space="preserve"> engagement risk assessment </w:t>
      </w:r>
      <w:r>
        <w:t xml:space="preserve">should be carried out </w:t>
      </w:r>
      <w:r w:rsidRPr="00F71F11">
        <w:t>encompassing the dimensions</w:t>
      </w:r>
      <w:r>
        <w:t xml:space="preserve"> set ou</w:t>
      </w:r>
      <w:r w:rsidR="00F7366D">
        <w:t>t</w:t>
      </w:r>
      <w:r>
        <w:t xml:space="preserve"> in Table 3 below</w:t>
      </w:r>
      <w:r w:rsidR="00F7366D">
        <w:t>:</w:t>
      </w:r>
    </w:p>
    <w:p w14:paraId="0666B347" w14:textId="76511DA1" w:rsidR="00125369" w:rsidRPr="00E33917" w:rsidRDefault="00E33917" w:rsidP="00E33917">
      <w:pPr>
        <w:pStyle w:val="Caption"/>
        <w:jc w:val="both"/>
      </w:pPr>
      <w:r w:rsidRPr="00E33917">
        <w:t xml:space="preserve">Table </w:t>
      </w:r>
      <w:fldSimple w:instr=" SEQ Table \* ARABIC ">
        <w:r w:rsidR="00FE56EB">
          <w:rPr>
            <w:noProof/>
          </w:rPr>
          <w:t>3</w:t>
        </w:r>
      </w:fldSimple>
      <w:r w:rsidR="00125369" w:rsidRPr="00E33917">
        <w:t>: Risk dimensions to consider in comprehensive risk assessment</w:t>
      </w:r>
    </w:p>
    <w:tbl>
      <w:tblPr>
        <w:tblStyle w:val="ListTable3-Accent2"/>
        <w:tblW w:w="0" w:type="auto"/>
        <w:tblLook w:val="04A0" w:firstRow="1" w:lastRow="0" w:firstColumn="1" w:lastColumn="0" w:noHBand="0" w:noVBand="1"/>
      </w:tblPr>
      <w:tblGrid>
        <w:gridCol w:w="1696"/>
        <w:gridCol w:w="4536"/>
        <w:gridCol w:w="3390"/>
      </w:tblGrid>
      <w:tr w:rsidR="00F7366D" w:rsidRPr="009A0F7B" w14:paraId="771F2768" w14:textId="77777777" w:rsidTr="0012536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96" w:type="dxa"/>
          </w:tcPr>
          <w:p w14:paraId="296C7489" w14:textId="264F9E22" w:rsidR="00F7366D" w:rsidRPr="009A0F7B" w:rsidRDefault="00831ACC" w:rsidP="00840428">
            <w:pPr>
              <w:rPr>
                <w:sz w:val="18"/>
                <w:szCs w:val="18"/>
              </w:rPr>
            </w:pPr>
            <w:r>
              <w:rPr>
                <w:sz w:val="18"/>
                <w:szCs w:val="18"/>
              </w:rPr>
              <w:t>Dimension</w:t>
            </w:r>
          </w:p>
        </w:tc>
        <w:tc>
          <w:tcPr>
            <w:tcW w:w="4536" w:type="dxa"/>
          </w:tcPr>
          <w:p w14:paraId="40BF7054" w14:textId="7A5F0A84" w:rsidR="00F7366D" w:rsidRPr="009A0F7B" w:rsidRDefault="00F56971" w:rsidP="00840428">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Root Causes</w:t>
            </w:r>
          </w:p>
        </w:tc>
        <w:tc>
          <w:tcPr>
            <w:tcW w:w="3390" w:type="dxa"/>
          </w:tcPr>
          <w:p w14:paraId="0B452813" w14:textId="7036997F" w:rsidR="00F7366D" w:rsidRPr="009A0F7B" w:rsidRDefault="000C3E7E" w:rsidP="00840428">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Consequences</w:t>
            </w:r>
          </w:p>
        </w:tc>
      </w:tr>
      <w:tr w:rsidR="00125369" w:rsidRPr="009A0F7B" w14:paraId="266B7544" w14:textId="77777777" w:rsidTr="00125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0018AD8" w14:textId="4CDD61CF" w:rsidR="00125369" w:rsidRDefault="00125369" w:rsidP="00125369">
            <w:pPr>
              <w:pStyle w:val="BodyText"/>
            </w:pPr>
            <w:r>
              <w:t>APIs</w:t>
            </w:r>
          </w:p>
        </w:tc>
        <w:tc>
          <w:tcPr>
            <w:tcW w:w="4536" w:type="dxa"/>
          </w:tcPr>
          <w:p w14:paraId="262A8172" w14:textId="69FED2C5"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Design and logic flaws</w:t>
            </w:r>
            <w:r w:rsidR="005A7018">
              <w:t>.</w:t>
            </w:r>
          </w:p>
          <w:p w14:paraId="47B4B639" w14:textId="48FB63AD"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Shadow and zombie APIs</w:t>
            </w:r>
            <w:r w:rsidR="005A7018">
              <w:t>.</w:t>
            </w:r>
          </w:p>
          <w:p w14:paraId="7ABF914E" w14:textId="5C613A39"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Ineffective API inventory management</w:t>
            </w:r>
            <w:r w:rsidR="005A7018">
              <w:t>.</w:t>
            </w:r>
          </w:p>
          <w:p w14:paraId="22364D0E" w14:textId="3AF37154"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Security misconfiguration</w:t>
            </w:r>
            <w:r w:rsidR="005A7018">
              <w:t>.</w:t>
            </w:r>
          </w:p>
          <w:p w14:paraId="6638603A" w14:textId="6C70C743"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Weak access and flow controls</w:t>
            </w:r>
            <w:r w:rsidR="005A7018">
              <w:t>.</w:t>
            </w:r>
          </w:p>
        </w:tc>
        <w:tc>
          <w:tcPr>
            <w:tcW w:w="3390" w:type="dxa"/>
          </w:tcPr>
          <w:p w14:paraId="1BD07028" w14:textId="23C05C94" w:rsidR="00125369" w:rsidRPr="004C75FF" w:rsidRDefault="00125369" w:rsidP="00DB1E3C">
            <w:pPr>
              <w:pStyle w:val="Tablebullet"/>
              <w:ind w:left="176" w:hanging="185"/>
              <w:cnfStyle w:val="000000100000" w:firstRow="0" w:lastRow="0" w:firstColumn="0" w:lastColumn="0" w:oddVBand="0" w:evenVBand="0" w:oddHBand="1" w:evenHBand="0" w:firstRowFirstColumn="0" w:firstRowLastColumn="0" w:lastRowFirstColumn="0" w:lastRowLastColumn="0"/>
            </w:pPr>
            <w:r w:rsidRPr="00125369">
              <w:t>Inadequately secured APIs may allow malicious actors to manipulate model inputs, extract confidential information, launch denial-of-service attacks, or facilitate unauthorised access to downstream systems and data pipelines.</w:t>
            </w:r>
          </w:p>
        </w:tc>
      </w:tr>
      <w:tr w:rsidR="00125369" w:rsidRPr="009A0F7B" w14:paraId="25603CC6" w14:textId="77777777" w:rsidTr="00125369">
        <w:tc>
          <w:tcPr>
            <w:cnfStyle w:val="001000000000" w:firstRow="0" w:lastRow="0" w:firstColumn="1" w:lastColumn="0" w:oddVBand="0" w:evenVBand="0" w:oddHBand="0" w:evenHBand="0" w:firstRowFirstColumn="0" w:firstRowLastColumn="0" w:lastRowFirstColumn="0" w:lastRowLastColumn="0"/>
            <w:tcW w:w="1696" w:type="dxa"/>
          </w:tcPr>
          <w:p w14:paraId="1A772B3F" w14:textId="62ED3DB6" w:rsidR="00125369" w:rsidRDefault="00125369" w:rsidP="00125369">
            <w:pPr>
              <w:pStyle w:val="BodyText"/>
            </w:pPr>
            <w:r>
              <w:t>Cloud platforms</w:t>
            </w:r>
          </w:p>
        </w:tc>
        <w:tc>
          <w:tcPr>
            <w:tcW w:w="4536" w:type="dxa"/>
          </w:tcPr>
          <w:p w14:paraId="47DF94CC" w14:textId="63657719"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Insecure APIs</w:t>
            </w:r>
            <w:r w:rsidR="007A12F8">
              <w:t>.</w:t>
            </w:r>
          </w:p>
          <w:p w14:paraId="675C399D" w14:textId="46D5A799"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Insider threats</w:t>
            </w:r>
            <w:r w:rsidR="007A12F8">
              <w:t>.</w:t>
            </w:r>
          </w:p>
          <w:p w14:paraId="581B1E44" w14:textId="724E7B94"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Shared infrastructure</w:t>
            </w:r>
            <w:r w:rsidR="007A12F8">
              <w:t>.</w:t>
            </w:r>
          </w:p>
          <w:p w14:paraId="2364F590" w14:textId="490CC11A"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Misconfigured cloud environments</w:t>
            </w:r>
            <w:r w:rsidR="007A12F8">
              <w:t>.</w:t>
            </w:r>
          </w:p>
          <w:p w14:paraId="68C2CC5A" w14:textId="71B65625"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rPr>
                <w:lang w:eastAsia="en-ZA"/>
              </w:rPr>
            </w:pPr>
            <w:r>
              <w:t>Weak access controls</w:t>
            </w:r>
            <w:r w:rsidR="007A12F8">
              <w:t>.</w:t>
            </w:r>
          </w:p>
        </w:tc>
        <w:tc>
          <w:tcPr>
            <w:tcW w:w="3390" w:type="dxa"/>
          </w:tcPr>
          <w:p w14:paraId="142688F1" w14:textId="4667CCB6" w:rsidR="00125369" w:rsidRDefault="00125369" w:rsidP="00DB1E3C">
            <w:pPr>
              <w:pStyle w:val="Tablebullet"/>
              <w:ind w:left="176" w:hanging="185"/>
              <w:cnfStyle w:val="000000000000" w:firstRow="0" w:lastRow="0" w:firstColumn="0" w:lastColumn="0" w:oddVBand="0" w:evenVBand="0" w:oddHBand="0" w:evenHBand="0" w:firstRowFirstColumn="0" w:firstRowLastColumn="0" w:lastRowFirstColumn="0" w:lastRowLastColumn="0"/>
            </w:pPr>
            <w:r w:rsidRPr="00125369">
              <w:t xml:space="preserve">Compromised cloud platforms can lead to regulatory non-compliance, exposure of sensitive data, intellectual property </w:t>
            </w:r>
            <w:r w:rsidR="00BA7A45">
              <w:t>loss</w:t>
            </w:r>
            <w:r w:rsidRPr="00125369">
              <w:t xml:space="preserve">, account hijacking, operational downtime and reputational </w:t>
            </w:r>
            <w:r w:rsidR="007A12F8">
              <w:t>harm</w:t>
            </w:r>
            <w:r w:rsidRPr="00125369">
              <w:t>.</w:t>
            </w:r>
          </w:p>
        </w:tc>
      </w:tr>
      <w:tr w:rsidR="00125369" w:rsidRPr="009A0F7B" w14:paraId="3FCCA7D7" w14:textId="77777777" w:rsidTr="00125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D8D1F7A" w14:textId="7EB23C6B" w:rsidR="00125369" w:rsidRDefault="00125369" w:rsidP="00125369">
            <w:pPr>
              <w:pStyle w:val="BodyText"/>
            </w:pPr>
            <w:r>
              <w:t>Third-party fintech vendors</w:t>
            </w:r>
          </w:p>
        </w:tc>
        <w:tc>
          <w:tcPr>
            <w:tcW w:w="4536" w:type="dxa"/>
          </w:tcPr>
          <w:p w14:paraId="16C4C02C" w14:textId="6942BC5B"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Technical failures or cyber incidents affecting vendors</w:t>
            </w:r>
            <w:r w:rsidR="00BA7A45">
              <w:t>.</w:t>
            </w:r>
          </w:p>
          <w:p w14:paraId="150D0FA9" w14:textId="27F1A510"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Vendor lock-in and operational dependency</w:t>
            </w:r>
            <w:r w:rsidR="00BA7A45">
              <w:t>.</w:t>
            </w:r>
          </w:p>
          <w:p w14:paraId="311E784C" w14:textId="7FFB2443"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Opaque data handling and lack of auditability</w:t>
            </w:r>
            <w:r w:rsidR="00BA7A45">
              <w:t>.</w:t>
            </w:r>
          </w:p>
          <w:p w14:paraId="78F9D465" w14:textId="25BD885B"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Integration complexity</w:t>
            </w:r>
            <w:r w:rsidR="00BA7A45">
              <w:t>.</w:t>
            </w:r>
          </w:p>
          <w:p w14:paraId="23563043" w14:textId="0120CC73"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Lack of human-in-the-loop oversight</w:t>
            </w:r>
            <w:r w:rsidR="00BA7A45">
              <w:t>.</w:t>
            </w:r>
          </w:p>
          <w:p w14:paraId="19FD56ED" w14:textId="631AF07D"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rPr>
                <w:lang w:eastAsia="en-ZA"/>
              </w:rPr>
            </w:pPr>
            <w:r>
              <w:t>Pressure to adopt AI rapidly due to competitive fear (FOMO)</w:t>
            </w:r>
            <w:r w:rsidR="00BA7A45">
              <w:t>.</w:t>
            </w:r>
          </w:p>
        </w:tc>
        <w:tc>
          <w:tcPr>
            <w:tcW w:w="3390" w:type="dxa"/>
          </w:tcPr>
          <w:p w14:paraId="26FC8024" w14:textId="41644840" w:rsidR="00125369" w:rsidRPr="00125369" w:rsidRDefault="00125369" w:rsidP="00DB1E3C">
            <w:pPr>
              <w:pStyle w:val="Tablebullet"/>
              <w:ind w:left="176" w:hanging="185"/>
              <w:cnfStyle w:val="000000100000" w:firstRow="0" w:lastRow="0" w:firstColumn="0" w:lastColumn="0" w:oddVBand="0" w:evenVBand="0" w:oddHBand="1" w:evenHBand="0" w:firstRowFirstColumn="0" w:firstRowLastColumn="0" w:lastRowFirstColumn="0" w:lastRowLastColumn="0"/>
            </w:pPr>
            <w:r w:rsidRPr="00125369">
              <w:t xml:space="preserve">Reliance on third-party vendors for critical AI functionality can deprive clients of access to essential services, reduce </w:t>
            </w:r>
            <w:r w:rsidR="00B46DFC">
              <w:t xml:space="preserve">flexibility in </w:t>
            </w:r>
            <w:r w:rsidRPr="00125369">
              <w:t xml:space="preserve">vendor selection, </w:t>
            </w:r>
            <w:r w:rsidR="00B46DFC">
              <w:t xml:space="preserve">limit </w:t>
            </w:r>
            <w:r w:rsidRPr="00125369">
              <w:t>independent model auditing, and result in broken integrations, undetected model drift, and concentration risk.</w:t>
            </w:r>
          </w:p>
        </w:tc>
      </w:tr>
      <w:tr w:rsidR="00125369" w:rsidRPr="009A0F7B" w14:paraId="68F16F67" w14:textId="77777777" w:rsidTr="00125369">
        <w:tc>
          <w:tcPr>
            <w:cnfStyle w:val="001000000000" w:firstRow="0" w:lastRow="0" w:firstColumn="1" w:lastColumn="0" w:oddVBand="0" w:evenVBand="0" w:oddHBand="0" w:evenHBand="0" w:firstRowFirstColumn="0" w:firstRowLastColumn="0" w:lastRowFirstColumn="0" w:lastRowLastColumn="0"/>
            <w:tcW w:w="1696" w:type="dxa"/>
          </w:tcPr>
          <w:p w14:paraId="7BF01B76" w14:textId="26F95BC8" w:rsidR="00125369" w:rsidRPr="001431C1" w:rsidRDefault="00125369" w:rsidP="00125369">
            <w:pPr>
              <w:pStyle w:val="BodyText"/>
            </w:pPr>
            <w:r>
              <w:t>Strategic alignment</w:t>
            </w:r>
          </w:p>
        </w:tc>
        <w:tc>
          <w:tcPr>
            <w:tcW w:w="4536" w:type="dxa"/>
          </w:tcPr>
          <w:p w14:paraId="68F1B7EA" w14:textId="54703408"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Absence of a defined AI strategy and governance framework</w:t>
            </w:r>
            <w:r w:rsidR="00AC7EE1">
              <w:t>.</w:t>
            </w:r>
          </w:p>
          <w:p w14:paraId="1C297895" w14:textId="2052EC34"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Misalignment between AI initiatives and business objectives</w:t>
            </w:r>
            <w:r w:rsidR="00AC7EE1">
              <w:t>.</w:t>
            </w:r>
          </w:p>
          <w:p w14:paraId="7E03A72B" w14:textId="2D8946D9"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Inadequate board-level oversight of AI risks</w:t>
            </w:r>
            <w:r w:rsidR="00AC7EE1">
              <w:t>.</w:t>
            </w:r>
          </w:p>
          <w:p w14:paraId="6D3121EB" w14:textId="51532EF8"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Lack of clear accountability and ownership</w:t>
            </w:r>
            <w:r w:rsidR="00AC7EE1">
              <w:t>.</w:t>
            </w:r>
          </w:p>
          <w:p w14:paraId="455A783A" w14:textId="168D5BDF"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rPr>
                <w:lang w:eastAsia="en-ZA"/>
              </w:rPr>
            </w:pPr>
            <w:r>
              <w:t>Insufficient investment in AI literacy across the organisation</w:t>
            </w:r>
            <w:r w:rsidR="00AC7EE1">
              <w:t>.</w:t>
            </w:r>
          </w:p>
        </w:tc>
        <w:tc>
          <w:tcPr>
            <w:tcW w:w="3390" w:type="dxa"/>
          </w:tcPr>
          <w:p w14:paraId="44C4C639" w14:textId="77777777" w:rsidR="000C3E38" w:rsidRDefault="00125369" w:rsidP="00DB1E3C">
            <w:pPr>
              <w:pStyle w:val="Tablebullet"/>
              <w:ind w:left="176" w:hanging="185"/>
              <w:cnfStyle w:val="000000000000" w:firstRow="0" w:lastRow="0" w:firstColumn="0" w:lastColumn="0" w:oddVBand="0" w:evenVBand="0" w:oddHBand="0" w:evenHBand="0" w:firstRowFirstColumn="0" w:firstRowLastColumn="0" w:lastRowFirstColumn="0" w:lastRowLastColumn="0"/>
            </w:pPr>
            <w:r w:rsidRPr="00125369">
              <w:t xml:space="preserve">Without strategic alignment, AI deployments may pursue conflicting goals, generate value-destructive outcomes, expose the organisation to unmanaged risks, and undermine stakeholder trust. </w:t>
            </w:r>
          </w:p>
          <w:p w14:paraId="3AC31460" w14:textId="3F348742" w:rsidR="00125369" w:rsidRPr="00125369" w:rsidRDefault="004C469E" w:rsidP="00DB1E3C">
            <w:pPr>
              <w:pStyle w:val="Tablebullet"/>
              <w:ind w:left="176" w:hanging="185"/>
              <w:cnfStyle w:val="000000000000" w:firstRow="0" w:lastRow="0" w:firstColumn="0" w:lastColumn="0" w:oddVBand="0" w:evenVBand="0" w:oddHBand="0" w:evenHBand="0" w:firstRowFirstColumn="0" w:firstRowLastColumn="0" w:lastRowFirstColumn="0" w:lastRowLastColumn="0"/>
            </w:pPr>
            <w:r>
              <w:t>R</w:t>
            </w:r>
            <w:r w:rsidR="00125369" w:rsidRPr="00125369">
              <w:t>egulatory scrutiny may increase where governance structures are absent or ineffective.</w:t>
            </w:r>
          </w:p>
        </w:tc>
      </w:tr>
      <w:tr w:rsidR="00125369" w:rsidRPr="009A0F7B" w14:paraId="7F1F7485" w14:textId="77777777" w:rsidTr="00125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FA155A1" w14:textId="0831AB26" w:rsidR="00125369" w:rsidRPr="001431C1" w:rsidRDefault="00125369" w:rsidP="00125369">
            <w:pPr>
              <w:pStyle w:val="BodyText"/>
            </w:pPr>
            <w:r>
              <w:lastRenderedPageBreak/>
              <w:t>Data</w:t>
            </w:r>
          </w:p>
        </w:tc>
        <w:tc>
          <w:tcPr>
            <w:tcW w:w="4536" w:type="dxa"/>
          </w:tcPr>
          <w:p w14:paraId="5B336DA1" w14:textId="2A734734"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Data poisoning and adversarial manipulation</w:t>
            </w:r>
            <w:r w:rsidR="000C3E38">
              <w:t>.</w:t>
            </w:r>
          </w:p>
          <w:p w14:paraId="5F01999F" w14:textId="70D948F4" w:rsidR="00125369" w:rsidRDefault="00163005"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W</w:t>
            </w:r>
            <w:r w:rsidRPr="00163005">
              <w:t>eak lineage and provenance controls</w:t>
            </w:r>
            <w:r w:rsidR="000C3E38">
              <w:t>.</w:t>
            </w:r>
          </w:p>
          <w:p w14:paraId="5B6F4453" w14:textId="717A1A09"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Bias in training and validation datasets</w:t>
            </w:r>
            <w:r w:rsidR="000C3E38">
              <w:t>.</w:t>
            </w:r>
          </w:p>
          <w:p w14:paraId="569CFCA4" w14:textId="6FB289AC"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Inadequate representation of target populations</w:t>
            </w:r>
            <w:r w:rsidR="000C3E38">
              <w:t>.</w:t>
            </w:r>
          </w:p>
          <w:p w14:paraId="3B5EAD9F" w14:textId="007B22D2"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Poor data quality, completeness, and timeliness</w:t>
            </w:r>
            <w:r w:rsidR="000C3E38">
              <w:t>.</w:t>
            </w:r>
          </w:p>
        </w:tc>
        <w:tc>
          <w:tcPr>
            <w:tcW w:w="3390" w:type="dxa"/>
          </w:tcPr>
          <w:p w14:paraId="7785DFD7" w14:textId="5AD0A0CA" w:rsidR="004C469E" w:rsidRDefault="004C469E" w:rsidP="00DB1E3C">
            <w:pPr>
              <w:pStyle w:val="Tablebullet"/>
              <w:ind w:left="176" w:hanging="185"/>
              <w:cnfStyle w:val="000000100000" w:firstRow="0" w:lastRow="0" w:firstColumn="0" w:lastColumn="0" w:oddVBand="0" w:evenVBand="0" w:oddHBand="1" w:evenHBand="0" w:firstRowFirstColumn="0" w:firstRowLastColumn="0" w:lastRowFirstColumn="0" w:lastRowLastColumn="0"/>
            </w:pPr>
            <w:r w:rsidRPr="004C469E">
              <w:t>Compromised or low</w:t>
            </w:r>
            <w:r w:rsidRPr="004C469E">
              <w:rPr>
                <w:rFonts w:ascii="Cambria Math" w:hAnsi="Cambria Math" w:cs="Cambria Math"/>
              </w:rPr>
              <w:t>‑</w:t>
            </w:r>
            <w:r w:rsidRPr="004C469E">
              <w:t>quality data undermines model reliability and fairness, leading to discriminatory outcomes, regulatory breaches, financial losses and reduced client trust.</w:t>
            </w:r>
            <w:r w:rsidR="00125369" w:rsidRPr="00125369">
              <w:t xml:space="preserve"> </w:t>
            </w:r>
          </w:p>
          <w:p w14:paraId="3A378614" w14:textId="10B551CF" w:rsidR="00125369" w:rsidRPr="00125369" w:rsidRDefault="004C469E" w:rsidP="00DB1E3C">
            <w:pPr>
              <w:pStyle w:val="Tablebullet"/>
              <w:ind w:left="176" w:hanging="185"/>
              <w:cnfStyle w:val="000000100000" w:firstRow="0" w:lastRow="0" w:firstColumn="0" w:lastColumn="0" w:oddVBand="0" w:evenVBand="0" w:oddHBand="1" w:evenHBand="0" w:firstRowFirstColumn="0" w:firstRowLastColumn="0" w:lastRowFirstColumn="0" w:lastRowLastColumn="0"/>
            </w:pPr>
            <w:r>
              <w:t>Weak</w:t>
            </w:r>
            <w:r w:rsidRPr="00125369">
              <w:t xml:space="preserve"> </w:t>
            </w:r>
            <w:r w:rsidR="00125369" w:rsidRPr="00125369">
              <w:t>lineage documentation impairs auditability and accountability.</w:t>
            </w:r>
          </w:p>
        </w:tc>
      </w:tr>
      <w:tr w:rsidR="00125369" w:rsidRPr="009A0F7B" w14:paraId="7122B30C" w14:textId="77777777" w:rsidTr="00125369">
        <w:tc>
          <w:tcPr>
            <w:cnfStyle w:val="001000000000" w:firstRow="0" w:lastRow="0" w:firstColumn="1" w:lastColumn="0" w:oddVBand="0" w:evenVBand="0" w:oddHBand="0" w:evenHBand="0" w:firstRowFirstColumn="0" w:firstRowLastColumn="0" w:lastRowFirstColumn="0" w:lastRowLastColumn="0"/>
            <w:tcW w:w="1696" w:type="dxa"/>
          </w:tcPr>
          <w:p w14:paraId="60A6584E" w14:textId="60B2AC94" w:rsidR="00125369" w:rsidRPr="001431C1" w:rsidRDefault="00125369" w:rsidP="00125369">
            <w:pPr>
              <w:pStyle w:val="BodyText"/>
            </w:pPr>
            <w:r>
              <w:t>Model and algorithm</w:t>
            </w:r>
          </w:p>
        </w:tc>
        <w:tc>
          <w:tcPr>
            <w:tcW w:w="4536" w:type="dxa"/>
          </w:tcPr>
          <w:p w14:paraId="53B0DD08" w14:textId="7DE18080"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Hallucination and confabulation</w:t>
            </w:r>
            <w:r w:rsidR="00D853CC">
              <w:t>.</w:t>
            </w:r>
          </w:p>
          <w:p w14:paraId="431C578B" w14:textId="73E42DDC"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Model drift and performance degradation over time</w:t>
            </w:r>
            <w:r w:rsidR="00D853CC">
              <w:t>.</w:t>
            </w:r>
          </w:p>
          <w:p w14:paraId="31574EF5" w14:textId="0CF9EFA0"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Opaque or poorly documented model architecture</w:t>
            </w:r>
            <w:r w:rsidR="00D853CC">
              <w:t>.</w:t>
            </w:r>
          </w:p>
          <w:p w14:paraId="7D7CD036" w14:textId="776CFB71"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Inadequate testing and validation protocols</w:t>
            </w:r>
            <w:r w:rsidR="00D853CC">
              <w:t>.</w:t>
            </w:r>
          </w:p>
          <w:p w14:paraId="68968505" w14:textId="22728F07" w:rsidR="00125369" w:rsidRDefault="00125369" w:rsidP="00DB1E3C">
            <w:pPr>
              <w:pStyle w:val="Tablebullet"/>
              <w:ind w:left="177" w:hanging="177"/>
              <w:cnfStyle w:val="000000000000" w:firstRow="0" w:lastRow="0" w:firstColumn="0" w:lastColumn="0" w:oddVBand="0" w:evenVBand="0" w:oddHBand="0" w:evenHBand="0" w:firstRowFirstColumn="0" w:firstRowLastColumn="0" w:lastRowFirstColumn="0" w:lastRowLastColumn="0"/>
            </w:pPr>
            <w:r>
              <w:t>Overreliance on automated outputs without human review</w:t>
            </w:r>
            <w:r w:rsidR="00D853CC">
              <w:t>.</w:t>
            </w:r>
          </w:p>
        </w:tc>
        <w:tc>
          <w:tcPr>
            <w:tcW w:w="3390" w:type="dxa"/>
          </w:tcPr>
          <w:p w14:paraId="11FCD276" w14:textId="608DDA83" w:rsidR="004007FD" w:rsidRDefault="00125369" w:rsidP="00DB1E3C">
            <w:pPr>
              <w:pStyle w:val="Tablebullet"/>
              <w:ind w:left="176" w:hanging="185"/>
              <w:cnfStyle w:val="000000000000" w:firstRow="0" w:lastRow="0" w:firstColumn="0" w:lastColumn="0" w:oddVBand="0" w:evenVBand="0" w:oddHBand="0" w:evenHBand="0" w:firstRowFirstColumn="0" w:firstRowLastColumn="0" w:lastRowFirstColumn="0" w:lastRowLastColumn="0"/>
            </w:pPr>
            <w:r w:rsidRPr="00125369">
              <w:t xml:space="preserve">Model failures can </w:t>
            </w:r>
            <w:r w:rsidR="004007FD">
              <w:t xml:space="preserve">produce </w:t>
            </w:r>
            <w:r w:rsidRPr="00125369">
              <w:t xml:space="preserve">inaccurate, misleading, or harmful outputs, lack explainability required for regulatory compliance, and </w:t>
            </w:r>
            <w:r w:rsidR="00CD69E2" w:rsidRPr="00CD69E2">
              <w:t>expose security vulnerabilities</w:t>
            </w:r>
            <w:r w:rsidRPr="00125369">
              <w:t xml:space="preserve">. </w:t>
            </w:r>
          </w:p>
          <w:p w14:paraId="717A051A" w14:textId="3D04B200" w:rsidR="00125369" w:rsidRPr="00125369" w:rsidRDefault="004007FD" w:rsidP="00DB1E3C">
            <w:pPr>
              <w:pStyle w:val="Tablebullet"/>
              <w:ind w:left="176" w:hanging="185"/>
              <w:cnfStyle w:val="000000000000" w:firstRow="0" w:lastRow="0" w:firstColumn="0" w:lastColumn="0" w:oddVBand="0" w:evenVBand="0" w:oddHBand="0" w:evenHBand="0" w:firstRowFirstColumn="0" w:firstRowLastColumn="0" w:lastRowFirstColumn="0" w:lastRowLastColumn="0"/>
            </w:pPr>
            <w:r w:rsidRPr="004007FD">
              <w:t>Undetected drift can degrade decision quality over time.</w:t>
            </w:r>
          </w:p>
        </w:tc>
      </w:tr>
      <w:tr w:rsidR="00125369" w:rsidRPr="009A0F7B" w14:paraId="5047898E" w14:textId="77777777" w:rsidTr="00125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47C3120" w14:textId="096F9BC2" w:rsidR="00125369" w:rsidRPr="001431C1" w:rsidRDefault="00125369" w:rsidP="00125369">
            <w:pPr>
              <w:pStyle w:val="BodyText"/>
            </w:pPr>
            <w:r>
              <w:t>Infrastructure and governance</w:t>
            </w:r>
          </w:p>
        </w:tc>
        <w:tc>
          <w:tcPr>
            <w:tcW w:w="4536" w:type="dxa"/>
          </w:tcPr>
          <w:p w14:paraId="19B71CF9" w14:textId="0C36048E"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Weaknesses in vector databases and embedding stores</w:t>
            </w:r>
            <w:r w:rsidR="00D853CC">
              <w:t>.</w:t>
            </w:r>
          </w:p>
          <w:p w14:paraId="20DF387A" w14:textId="3412B74E"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Shadow AI deployments outside governance frameworks</w:t>
            </w:r>
            <w:r w:rsidR="00D853CC">
              <w:t>.</w:t>
            </w:r>
          </w:p>
          <w:p w14:paraId="2E8666C1" w14:textId="68D6D399"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Automation bias in human-AI teaming</w:t>
            </w:r>
            <w:r w:rsidR="00D853CC">
              <w:t>.</w:t>
            </w:r>
          </w:p>
          <w:p w14:paraId="7520CA0F" w14:textId="185A33A4"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Insufficient governance controls and policy enforcement</w:t>
            </w:r>
            <w:r w:rsidR="00D853CC">
              <w:t>.</w:t>
            </w:r>
          </w:p>
          <w:p w14:paraId="3B758AF7" w14:textId="6455E651" w:rsidR="00125369" w:rsidRDefault="00125369" w:rsidP="00DB1E3C">
            <w:pPr>
              <w:pStyle w:val="Tablebullet"/>
              <w:ind w:left="177" w:hanging="177"/>
              <w:cnfStyle w:val="000000100000" w:firstRow="0" w:lastRow="0" w:firstColumn="0" w:lastColumn="0" w:oddVBand="0" w:evenVBand="0" w:oddHBand="1" w:evenHBand="0" w:firstRowFirstColumn="0" w:firstRowLastColumn="0" w:lastRowFirstColumn="0" w:lastRowLastColumn="0"/>
            </w:pPr>
            <w:r>
              <w:t>Inadequate monitoring, logging, and alerting capabilities</w:t>
            </w:r>
            <w:r w:rsidR="00D853CC">
              <w:t>.</w:t>
            </w:r>
          </w:p>
        </w:tc>
        <w:tc>
          <w:tcPr>
            <w:tcW w:w="3390" w:type="dxa"/>
          </w:tcPr>
          <w:p w14:paraId="396E7FFD" w14:textId="77777777" w:rsidR="002A1DB2" w:rsidRDefault="002A1DB2" w:rsidP="00DB1E3C">
            <w:pPr>
              <w:pStyle w:val="Tablebullet"/>
              <w:ind w:left="176" w:hanging="185"/>
              <w:cnfStyle w:val="000000100000" w:firstRow="0" w:lastRow="0" w:firstColumn="0" w:lastColumn="0" w:oddVBand="0" w:evenVBand="0" w:oddHBand="1" w:evenHBand="0" w:firstRowFirstColumn="0" w:firstRowLastColumn="0" w:lastRowFirstColumn="0" w:lastRowLastColumn="0"/>
            </w:pPr>
            <w:r w:rsidRPr="002A1DB2">
              <w:t xml:space="preserve">Governance gaps increase attack surfaces, reduce organisational resilience and allow errors to go unchallenged. </w:t>
            </w:r>
          </w:p>
          <w:p w14:paraId="2761069D" w14:textId="782D7EBE" w:rsidR="00125369" w:rsidRPr="00125369" w:rsidRDefault="002A1DB2" w:rsidP="00DB1E3C">
            <w:pPr>
              <w:pStyle w:val="Tablebullet"/>
              <w:ind w:left="176" w:hanging="185"/>
              <w:cnfStyle w:val="000000100000" w:firstRow="0" w:lastRow="0" w:firstColumn="0" w:lastColumn="0" w:oddVBand="0" w:evenVBand="0" w:oddHBand="1" w:evenHBand="0" w:firstRowFirstColumn="0" w:firstRowLastColumn="0" w:lastRowFirstColumn="0" w:lastRowLastColumn="0"/>
            </w:pPr>
            <w:r w:rsidRPr="002A1DB2">
              <w:t>Weak monitoring may delay detection of anomalous behaviour until it causes material impact.</w:t>
            </w:r>
          </w:p>
        </w:tc>
      </w:tr>
    </w:tbl>
    <w:p w14:paraId="60E8BD95" w14:textId="77777777" w:rsidR="00956AED" w:rsidRPr="00F71F11" w:rsidRDefault="00956AED" w:rsidP="00125369"/>
    <w:p w14:paraId="15416162" w14:textId="79D1195B" w:rsidR="00206521" w:rsidRDefault="00206521" w:rsidP="00206521">
      <w:pPr>
        <w:pStyle w:val="Heading4"/>
      </w:pPr>
      <w:r>
        <w:t>Establish evaluation criteria</w:t>
      </w:r>
    </w:p>
    <w:p w14:paraId="5566C2FA" w14:textId="04642993" w:rsidR="0052454F" w:rsidRDefault="00125369" w:rsidP="000A0176">
      <w:r>
        <w:t>D</w:t>
      </w:r>
      <w:r w:rsidR="00C750E9" w:rsidRPr="00C750E9">
        <w:t xml:space="preserve">raw on established frameworks such as those from the </w:t>
      </w:r>
      <w:bookmarkStart w:id="27" w:name="_Hlk218520537"/>
      <w:r w:rsidR="00C750E9" w:rsidRPr="00C750E9">
        <w:t>National Institute of Standards and Technology (NIST), the Institute of Internal Auditors’ (IIA) Artificial Intelligence Auditing Framework, International Organisation for Standardization 42001 (ISO 42001)</w:t>
      </w:r>
      <w:bookmarkEnd w:id="27"/>
      <w:r w:rsidR="00C750E9" w:rsidRPr="00C750E9">
        <w:t xml:space="preserve">, General Data Protection Regulation (GDPR), and the European Union Artificial Intelligence Act (EU AI Act) to </w:t>
      </w:r>
      <w:r w:rsidR="00145939">
        <w:t>define</w:t>
      </w:r>
      <w:r w:rsidR="00C750E9" w:rsidRPr="00C750E9">
        <w:t xml:space="preserve"> evaluation criteria. </w:t>
      </w:r>
      <w:r>
        <w:t>A</w:t>
      </w:r>
      <w:r w:rsidR="00C750E9" w:rsidRPr="00C750E9">
        <w:t>uditors should adopt a holistic compliance lens</w:t>
      </w:r>
      <w:r w:rsidR="003504B7">
        <w:t xml:space="preserve"> to ensure</w:t>
      </w:r>
      <w:r w:rsidR="00C750E9" w:rsidRPr="00C750E9">
        <w:t xml:space="preserve"> alignment with the regulatory </w:t>
      </w:r>
      <w:r w:rsidR="00C750E9">
        <w:t>requirements</w:t>
      </w:r>
      <w:r w:rsidR="00FE56EB">
        <w:t xml:space="preserve"> as set out in Table 4 below.</w:t>
      </w:r>
    </w:p>
    <w:p w14:paraId="49ABA992" w14:textId="15EB109B" w:rsidR="00E33917" w:rsidRDefault="00E33917" w:rsidP="00E33917">
      <w:pPr>
        <w:pStyle w:val="Caption"/>
        <w:keepNext/>
        <w:jc w:val="both"/>
      </w:pPr>
      <w:r>
        <w:t xml:space="preserve">Table </w:t>
      </w:r>
      <w:fldSimple w:instr=" SEQ Table \* ARABIC ">
        <w:r w:rsidR="00FE56EB">
          <w:rPr>
            <w:noProof/>
          </w:rPr>
          <w:t>4</w:t>
        </w:r>
      </w:fldSimple>
      <w:r>
        <w:t>: Regulatory requirements</w:t>
      </w:r>
      <w:r w:rsidR="00FE56EB">
        <w:t xml:space="preserve"> to consider when auditing AI models</w:t>
      </w:r>
    </w:p>
    <w:tbl>
      <w:tblPr>
        <w:tblStyle w:val="ListTable3-Accent2"/>
        <w:tblW w:w="9776" w:type="dxa"/>
        <w:tblLook w:val="04A0" w:firstRow="1" w:lastRow="0" w:firstColumn="1" w:lastColumn="0" w:noHBand="0" w:noVBand="1"/>
      </w:tblPr>
      <w:tblGrid>
        <w:gridCol w:w="1146"/>
        <w:gridCol w:w="8630"/>
      </w:tblGrid>
      <w:tr w:rsidR="00E33917" w:rsidRPr="009A0F7B" w14:paraId="262BCA8C" w14:textId="77777777" w:rsidTr="00DB1E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tcPr>
          <w:p w14:paraId="3E45664E" w14:textId="7CA07B6E" w:rsidR="00E33917" w:rsidRPr="009A0F7B" w:rsidRDefault="00E33917" w:rsidP="00840428">
            <w:pPr>
              <w:rPr>
                <w:sz w:val="18"/>
                <w:szCs w:val="18"/>
              </w:rPr>
            </w:pPr>
            <w:r>
              <w:rPr>
                <w:sz w:val="18"/>
                <w:szCs w:val="18"/>
              </w:rPr>
              <w:t>Regulation</w:t>
            </w:r>
          </w:p>
        </w:tc>
        <w:tc>
          <w:tcPr>
            <w:tcW w:w="8647" w:type="dxa"/>
          </w:tcPr>
          <w:p w14:paraId="07728F0A" w14:textId="1C010A10" w:rsidR="00E33917" w:rsidRPr="009A0F7B" w:rsidRDefault="00E33917" w:rsidP="00840428">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Requirement</w:t>
            </w:r>
          </w:p>
        </w:tc>
      </w:tr>
      <w:tr w:rsidR="00E33917" w:rsidRPr="009A0F7B" w14:paraId="575D1BF8" w14:textId="77777777" w:rsidTr="00DB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90623BD" w14:textId="20ECBAEE" w:rsidR="00E33917" w:rsidRDefault="00E33917" w:rsidP="00E33917">
            <w:pPr>
              <w:pStyle w:val="BodyText"/>
              <w:ind w:left="34"/>
            </w:pPr>
            <w:r w:rsidRPr="00C80C9D">
              <w:t>EU AI Act</w:t>
            </w:r>
          </w:p>
        </w:tc>
        <w:tc>
          <w:tcPr>
            <w:tcW w:w="8647" w:type="dxa"/>
          </w:tcPr>
          <w:p w14:paraId="746E02BE" w14:textId="77777777" w:rsidR="00E33917" w:rsidRDefault="00E33917" w:rsidP="00E51820">
            <w:pPr>
              <w:pStyle w:val="Tablebullet"/>
              <w:numPr>
                <w:ilvl w:val="0"/>
                <w:numId w:val="0"/>
              </w:numPr>
              <w:cnfStyle w:val="000000100000" w:firstRow="0" w:lastRow="0" w:firstColumn="0" w:lastColumn="0" w:oddVBand="0" w:evenVBand="0" w:oddHBand="1" w:evenHBand="0" w:firstRowFirstColumn="0" w:firstRowLastColumn="0" w:lastRowFirstColumn="0" w:lastRowLastColumn="0"/>
            </w:pPr>
            <w:r>
              <w:t>Risk classification tiers:</w:t>
            </w:r>
          </w:p>
          <w:p w14:paraId="48683E9B" w14:textId="1C0638C1" w:rsidR="00B80789" w:rsidRPr="00DB1E3C" w:rsidRDefault="00E33917" w:rsidP="00DB1E3C">
            <w:pPr>
              <w:pStyle w:val="Tablebullet"/>
              <w:ind w:left="319" w:hanging="284"/>
              <w:cnfStyle w:val="000000100000" w:firstRow="0" w:lastRow="0" w:firstColumn="0" w:lastColumn="0" w:oddVBand="0" w:evenVBand="0" w:oddHBand="1" w:evenHBand="0" w:firstRowFirstColumn="0" w:firstRowLastColumn="0" w:lastRowFirstColumn="0" w:lastRowLastColumn="0"/>
            </w:pPr>
            <w:r w:rsidRPr="00745357">
              <w:rPr>
                <w:b/>
                <w:bCs/>
              </w:rPr>
              <w:t>Unacceptable risk:</w:t>
            </w:r>
            <w:r>
              <w:t xml:space="preserve"> </w:t>
            </w:r>
            <w:r w:rsidR="00B80789" w:rsidRPr="00B80789">
              <w:t>Models that threaten fundamental rights (e.g., social scoring) are prohibited.</w:t>
            </w:r>
          </w:p>
          <w:p w14:paraId="48614E67" w14:textId="0AE1C1D2" w:rsidR="00212033" w:rsidRPr="00DB1E3C" w:rsidRDefault="00E33917" w:rsidP="00DB1E3C">
            <w:pPr>
              <w:pStyle w:val="Tablebullet"/>
              <w:ind w:left="319" w:hanging="284"/>
              <w:cnfStyle w:val="000000100000" w:firstRow="0" w:lastRow="0" w:firstColumn="0" w:lastColumn="0" w:oddVBand="0" w:evenVBand="0" w:oddHBand="1" w:evenHBand="0" w:firstRowFirstColumn="0" w:firstRowLastColumn="0" w:lastRowFirstColumn="0" w:lastRowLastColumn="0"/>
            </w:pPr>
            <w:r w:rsidRPr="00745357">
              <w:rPr>
                <w:b/>
                <w:bCs/>
              </w:rPr>
              <w:t>High risk:</w:t>
            </w:r>
            <w:r>
              <w:t xml:space="preserve"> </w:t>
            </w:r>
            <w:r w:rsidR="00212033" w:rsidRPr="00212033">
              <w:t>Applications such as credit scoring, AML and fraud detection require testing for accuracy and robustness, documented technical records and defined human oversight.</w:t>
            </w:r>
          </w:p>
          <w:p w14:paraId="6184A2D2" w14:textId="115A1842" w:rsidR="00E33917" w:rsidRDefault="00E33917" w:rsidP="00DB1E3C">
            <w:pPr>
              <w:pStyle w:val="Tablebullet"/>
              <w:ind w:left="319" w:hanging="284"/>
              <w:cnfStyle w:val="000000100000" w:firstRow="0" w:lastRow="0" w:firstColumn="0" w:lastColumn="0" w:oddVBand="0" w:evenVBand="0" w:oddHBand="1" w:evenHBand="0" w:firstRowFirstColumn="0" w:firstRowLastColumn="0" w:lastRowFirstColumn="0" w:lastRowLastColumn="0"/>
            </w:pPr>
            <w:r w:rsidRPr="00745357">
              <w:rPr>
                <w:b/>
                <w:bCs/>
              </w:rPr>
              <w:t>Limited risk:</w:t>
            </w:r>
            <w:r>
              <w:t xml:space="preserve"> Systems like chatbots require transparency disclosures to notify users they are interacting with AI.</w:t>
            </w:r>
          </w:p>
          <w:p w14:paraId="7D74A77B" w14:textId="11D53C7B" w:rsidR="00E33917" w:rsidRDefault="00E33917" w:rsidP="00DB1E3C">
            <w:pPr>
              <w:pStyle w:val="Tablebullet"/>
              <w:ind w:left="319" w:hanging="284"/>
              <w:cnfStyle w:val="000000100000" w:firstRow="0" w:lastRow="0" w:firstColumn="0" w:lastColumn="0" w:oddVBand="0" w:evenVBand="0" w:oddHBand="1" w:evenHBand="0" w:firstRowFirstColumn="0" w:firstRowLastColumn="0" w:lastRowFirstColumn="0" w:lastRowLastColumn="0"/>
            </w:pPr>
            <w:r w:rsidRPr="00745357">
              <w:rPr>
                <w:b/>
                <w:bCs/>
              </w:rPr>
              <w:t>Minimal risk:</w:t>
            </w:r>
            <w:r>
              <w:t xml:space="preserve"> </w:t>
            </w:r>
            <w:r w:rsidR="00FC7984" w:rsidRPr="00FC7984">
              <w:t>Systems such as spam filters have limited regulatory obligations</w:t>
            </w:r>
            <w:r>
              <w:t>.</w:t>
            </w:r>
          </w:p>
        </w:tc>
      </w:tr>
      <w:tr w:rsidR="00E33917" w:rsidRPr="009A0F7B" w14:paraId="0F0863DE" w14:textId="77777777" w:rsidTr="00DB1E3C">
        <w:tc>
          <w:tcPr>
            <w:cnfStyle w:val="001000000000" w:firstRow="0" w:lastRow="0" w:firstColumn="1" w:lastColumn="0" w:oddVBand="0" w:evenVBand="0" w:oddHBand="0" w:evenHBand="0" w:firstRowFirstColumn="0" w:firstRowLastColumn="0" w:lastRowFirstColumn="0" w:lastRowLastColumn="0"/>
            <w:tcW w:w="1129" w:type="dxa"/>
          </w:tcPr>
          <w:p w14:paraId="76AACA20" w14:textId="6A70ED5C" w:rsidR="00E33917" w:rsidRDefault="00E33917" w:rsidP="00E33917">
            <w:pPr>
              <w:pStyle w:val="BodyText"/>
              <w:ind w:left="34"/>
            </w:pPr>
            <w:r>
              <w:t>POPIA</w:t>
            </w:r>
          </w:p>
        </w:tc>
        <w:tc>
          <w:tcPr>
            <w:tcW w:w="8647" w:type="dxa"/>
          </w:tcPr>
          <w:p w14:paraId="1B57D741" w14:textId="3C7DEE16" w:rsidR="00E33917" w:rsidRPr="00E33917" w:rsidRDefault="00DA05AD" w:rsidP="00DB1E3C">
            <w:pPr>
              <w:pStyle w:val="Tablebullet"/>
              <w:ind w:left="315" w:hanging="283"/>
              <w:cnfStyle w:val="000000000000" w:firstRow="0" w:lastRow="0" w:firstColumn="0" w:lastColumn="0" w:oddVBand="0" w:evenVBand="0" w:oddHBand="0" w:evenHBand="0" w:firstRowFirstColumn="0" w:firstRowLastColumn="0" w:lastRowFirstColumn="0" w:lastRowLastColumn="0"/>
            </w:pPr>
            <w:r w:rsidRPr="00DA05AD">
              <w:t>Confirm that personal data is processed only for defined purposes and that data</w:t>
            </w:r>
            <w:r w:rsidRPr="00DA05AD">
              <w:rPr>
                <w:rFonts w:ascii="Cambria Math" w:hAnsi="Cambria Math" w:cs="Cambria Math"/>
              </w:rPr>
              <w:t>‑</w:t>
            </w:r>
            <w:r w:rsidRPr="00DA05AD">
              <w:t>minimisation safeguards are applied</w:t>
            </w:r>
            <w:r w:rsidR="00E33917" w:rsidRPr="00E33917">
              <w:t xml:space="preserve">. </w:t>
            </w:r>
          </w:p>
          <w:p w14:paraId="111934B9" w14:textId="13E9A412" w:rsidR="00E33917" w:rsidRPr="00E33917" w:rsidRDefault="00E33917" w:rsidP="00DB1E3C">
            <w:pPr>
              <w:pStyle w:val="Tablebullet"/>
              <w:ind w:left="315" w:hanging="283"/>
              <w:cnfStyle w:val="000000000000" w:firstRow="0" w:lastRow="0" w:firstColumn="0" w:lastColumn="0" w:oddVBand="0" w:evenVBand="0" w:oddHBand="0" w:evenHBand="0" w:firstRowFirstColumn="0" w:firstRowLastColumn="0" w:lastRowFirstColumn="0" w:lastRowLastColumn="0"/>
            </w:pPr>
            <w:r w:rsidRPr="00E33917">
              <w:t>Ensure protocols are in place to inform individuals when significant decisions are made solely by automated means and provide them opportunities to request human intervention.</w:t>
            </w:r>
          </w:p>
        </w:tc>
      </w:tr>
      <w:tr w:rsidR="00E33917" w:rsidRPr="009A0F7B" w14:paraId="733B84CB" w14:textId="77777777" w:rsidTr="00DB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8222FBD" w14:textId="5F6DA5DF" w:rsidR="00E33917" w:rsidRDefault="00E33917" w:rsidP="00E33917">
            <w:pPr>
              <w:pStyle w:val="BodyText"/>
              <w:ind w:left="34"/>
            </w:pPr>
            <w:r>
              <w:lastRenderedPageBreak/>
              <w:t>GDPR</w:t>
            </w:r>
          </w:p>
        </w:tc>
        <w:tc>
          <w:tcPr>
            <w:tcW w:w="8647" w:type="dxa"/>
          </w:tcPr>
          <w:p w14:paraId="2BCD88B6" w14:textId="77777777" w:rsidR="00E33917" w:rsidRDefault="00E33917" w:rsidP="00DB1E3C">
            <w:pPr>
              <w:pStyle w:val="Tablebullet"/>
              <w:ind w:left="315" w:hanging="283"/>
              <w:cnfStyle w:val="000000100000" w:firstRow="0" w:lastRow="0" w:firstColumn="0" w:lastColumn="0" w:oddVBand="0" w:evenVBand="0" w:oddHBand="1" w:evenHBand="0" w:firstRowFirstColumn="0" w:firstRowLastColumn="0" w:lastRowFirstColumn="0" w:lastRowLastColumn="0"/>
            </w:pPr>
            <w:r>
              <w:t xml:space="preserve">Verify lawful processing bases, explicit consent, and data subject rights, such as the right to erasure and portability. </w:t>
            </w:r>
          </w:p>
          <w:p w14:paraId="128E2C05" w14:textId="5CD9662C" w:rsidR="00E33917" w:rsidRDefault="00D05F3E" w:rsidP="00DB1E3C">
            <w:pPr>
              <w:pStyle w:val="Tablebullet"/>
              <w:ind w:left="315" w:hanging="283"/>
              <w:cnfStyle w:val="000000100000" w:firstRow="0" w:lastRow="0" w:firstColumn="0" w:lastColumn="0" w:oddVBand="0" w:evenVBand="0" w:oddHBand="1" w:evenHBand="0" w:firstRowFirstColumn="0" w:firstRowLastColumn="0" w:lastRowFirstColumn="0" w:lastRowLastColumn="0"/>
            </w:pPr>
            <w:r w:rsidRPr="00D05F3E">
              <w:t>For high</w:t>
            </w:r>
            <w:r w:rsidRPr="00D05F3E">
              <w:rPr>
                <w:rFonts w:ascii="Cambria Math" w:hAnsi="Cambria Math" w:cs="Cambria Math"/>
              </w:rPr>
              <w:t>‑</w:t>
            </w:r>
            <w:r w:rsidRPr="00D05F3E">
              <w:t>risk AI activities, confirm that Data Protection Impact Assessments (DPIAs) are conducted and that cross</w:t>
            </w:r>
            <w:r w:rsidRPr="00D05F3E">
              <w:rPr>
                <w:rFonts w:ascii="Cambria Math" w:hAnsi="Cambria Math" w:cs="Cambria Math"/>
              </w:rPr>
              <w:t>‑</w:t>
            </w:r>
            <w:r w:rsidRPr="00D05F3E">
              <w:t>border data transfer restrictions are met.</w:t>
            </w:r>
          </w:p>
        </w:tc>
      </w:tr>
    </w:tbl>
    <w:p w14:paraId="73CAC871" w14:textId="77777777" w:rsidR="00D42764" w:rsidRDefault="00D42764" w:rsidP="009D59CD">
      <w:pPr>
        <w:pStyle w:val="ListParagraph"/>
        <w:numPr>
          <w:ilvl w:val="0"/>
          <w:numId w:val="0"/>
        </w:numPr>
        <w:spacing w:after="0"/>
        <w:ind w:left="720"/>
      </w:pPr>
    </w:p>
    <w:p w14:paraId="66DA1C18" w14:textId="683234B9" w:rsidR="00206521" w:rsidRDefault="00206521" w:rsidP="00206521">
      <w:pPr>
        <w:pStyle w:val="Heading4"/>
      </w:pPr>
      <w:r>
        <w:t>Identify engagement resources</w:t>
      </w:r>
    </w:p>
    <w:p w14:paraId="2B974B75" w14:textId="2F926D9C" w:rsidR="00206521" w:rsidRDefault="00A67713" w:rsidP="00C80C9D">
      <w:r w:rsidRPr="00A67713">
        <w:t xml:space="preserve">The engagement team must have </w:t>
      </w:r>
      <w:r w:rsidRPr="00DB1E3C">
        <w:rPr>
          <w:b/>
          <w:bCs/>
        </w:rPr>
        <w:t>functional literacy</w:t>
      </w:r>
      <w:r w:rsidRPr="00A67713">
        <w:t xml:space="preserve"> in algorithmic logic, data science tools, statistical methods, bias</w:t>
      </w:r>
      <w:r w:rsidRPr="00A67713">
        <w:rPr>
          <w:rFonts w:ascii="Cambria Math" w:hAnsi="Cambria Math" w:cs="Cambria Math"/>
        </w:rPr>
        <w:t>‑</w:t>
      </w:r>
      <w:r w:rsidRPr="00A67713">
        <w:t>mitigation techniques and the regulatory requirements that apply to AI models. Where the audit requires skills that are not available within the team, the necessary expertise should be sourced through internal specialists or external support.</w:t>
      </w:r>
    </w:p>
    <w:p w14:paraId="70404EBB" w14:textId="40F1EC6C" w:rsidR="00AE3489" w:rsidRPr="00701FF1" w:rsidRDefault="002012B6" w:rsidP="002012B6">
      <w:pPr>
        <w:pStyle w:val="Heading3"/>
      </w:pPr>
      <w:bookmarkStart w:id="28" w:name="_Toc215232456"/>
      <w:bookmarkStart w:id="29" w:name="_Toc215235082"/>
      <w:bookmarkStart w:id="30" w:name="_Hlk215060062"/>
      <w:bookmarkEnd w:id="28"/>
      <w:r>
        <w:t>Develop</w:t>
      </w:r>
      <w:r w:rsidR="00702BCD" w:rsidRPr="00701FF1">
        <w:t xml:space="preserve"> the </w:t>
      </w:r>
      <w:r>
        <w:t>engagement</w:t>
      </w:r>
      <w:r w:rsidR="00702BCD" w:rsidRPr="00701FF1">
        <w:t xml:space="preserve"> program</w:t>
      </w:r>
      <w:r w:rsidR="005A10A4">
        <w:t xml:space="preserve"> to test</w:t>
      </w:r>
      <w:r w:rsidR="00702BCD" w:rsidRPr="00701FF1">
        <w:t xml:space="preserve"> AI Model </w:t>
      </w:r>
      <w:r w:rsidR="00260123" w:rsidRPr="00701FF1">
        <w:t xml:space="preserve">procedures and </w:t>
      </w:r>
      <w:r w:rsidR="00702BCD" w:rsidRPr="00701FF1">
        <w:t>controls</w:t>
      </w:r>
      <w:bookmarkEnd w:id="29"/>
    </w:p>
    <w:p w14:paraId="689B859C" w14:textId="6A5094E0" w:rsidR="00E1501E" w:rsidRDefault="00E1501E" w:rsidP="00E1501E">
      <w:r w:rsidRPr="00E1501E">
        <w:t>Auditors should</w:t>
      </w:r>
      <w:r w:rsidR="008E0B80">
        <w:t>, preferably</w:t>
      </w:r>
      <w:r w:rsidRPr="00E1501E">
        <w:t xml:space="preserve"> </w:t>
      </w:r>
      <w:r w:rsidR="004373F1">
        <w:t xml:space="preserve">treat </w:t>
      </w:r>
      <w:r w:rsidR="00E9594D">
        <w:t xml:space="preserve">AI solutions as </w:t>
      </w:r>
      <w:r w:rsidR="00FE56EB">
        <w:t>white boxes (i.e., auditing through the model)</w:t>
      </w:r>
      <w:r w:rsidR="008E0B80">
        <w:t>, where possible</w:t>
      </w:r>
      <w:r w:rsidR="00FE56EB">
        <w:t>.  B</w:t>
      </w:r>
      <w:r w:rsidR="00C01F68" w:rsidRPr="00C01F68">
        <w:t xml:space="preserve">lack-box methods are unreliable for detecting anomalous failures </w:t>
      </w:r>
      <w:r w:rsidR="00C01F68">
        <w:t>such as</w:t>
      </w:r>
      <w:r w:rsidR="00C01F68" w:rsidRPr="00C01F68">
        <w:t xml:space="preserve"> jailbreaks or backdoors</w:t>
      </w:r>
      <w:r w:rsidR="00C01F68">
        <w:t xml:space="preserve">.  </w:t>
      </w:r>
      <w:r w:rsidR="00FE56EB">
        <w:t>White box audits require control testing, as outlined in Table 5 below</w:t>
      </w:r>
      <w:r w:rsidR="00070773">
        <w:t>.</w:t>
      </w:r>
    </w:p>
    <w:p w14:paraId="12FA5B1E" w14:textId="1DC77CF4" w:rsidR="009A0F7B" w:rsidRPr="009A0F7B" w:rsidRDefault="00FE56EB" w:rsidP="00FE56EB">
      <w:pPr>
        <w:pStyle w:val="Caption"/>
        <w:jc w:val="left"/>
        <w:rPr>
          <w:b w:val="0"/>
          <w:bCs/>
        </w:rPr>
      </w:pPr>
      <w:r>
        <w:t xml:space="preserve">Table </w:t>
      </w:r>
      <w:fldSimple w:instr=" SEQ Table \* ARABIC ">
        <w:r>
          <w:rPr>
            <w:noProof/>
          </w:rPr>
          <w:t>5</w:t>
        </w:r>
      </w:fldSimple>
      <w:r w:rsidR="009A0F7B" w:rsidRPr="009A0F7B">
        <w:rPr>
          <w:bCs/>
        </w:rPr>
        <w:t xml:space="preserve">: Key AI </w:t>
      </w:r>
      <w:r>
        <w:rPr>
          <w:bCs/>
        </w:rPr>
        <w:t xml:space="preserve">control </w:t>
      </w:r>
      <w:r w:rsidR="009A0F7B" w:rsidRPr="009A0F7B">
        <w:rPr>
          <w:bCs/>
        </w:rPr>
        <w:t>testing procedures</w:t>
      </w:r>
    </w:p>
    <w:tbl>
      <w:tblPr>
        <w:tblStyle w:val="ListTable3-Accent2"/>
        <w:tblW w:w="0" w:type="auto"/>
        <w:tblLook w:val="04A0" w:firstRow="1" w:lastRow="0" w:firstColumn="1" w:lastColumn="0" w:noHBand="0" w:noVBand="1"/>
      </w:tblPr>
      <w:tblGrid>
        <w:gridCol w:w="1838"/>
        <w:gridCol w:w="7784"/>
      </w:tblGrid>
      <w:tr w:rsidR="00E1501E" w:rsidRPr="00E1501E" w14:paraId="0D68E32D" w14:textId="77777777" w:rsidTr="00C850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38" w:type="dxa"/>
          </w:tcPr>
          <w:p w14:paraId="14B7A1D5" w14:textId="7BAADC15" w:rsidR="00E1501E" w:rsidRPr="00E1501E" w:rsidRDefault="00E1501E" w:rsidP="00E1501E">
            <w:pPr>
              <w:jc w:val="left"/>
              <w:rPr>
                <w:rFonts w:ascii="Arial" w:hAnsi="Arial" w:cs="Arial"/>
                <w:b w:val="0"/>
                <w:bCs w:val="0"/>
                <w:sz w:val="18"/>
                <w:szCs w:val="18"/>
              </w:rPr>
            </w:pPr>
            <w:r w:rsidRPr="00E1501E">
              <w:rPr>
                <w:rStyle w:val="Strong"/>
                <w:rFonts w:ascii="Arial" w:hAnsi="Arial" w:cs="Arial"/>
                <w:b/>
                <w:bCs/>
                <w:sz w:val="18"/>
                <w:szCs w:val="18"/>
                <w:bdr w:val="none" w:sz="0" w:space="0" w:color="auto" w:frame="1"/>
              </w:rPr>
              <w:t>Audit Focus Area</w:t>
            </w:r>
          </w:p>
        </w:tc>
        <w:tc>
          <w:tcPr>
            <w:tcW w:w="7784" w:type="dxa"/>
          </w:tcPr>
          <w:p w14:paraId="63C8120A" w14:textId="34B0E5DB" w:rsidR="00E1501E" w:rsidRPr="00E1501E" w:rsidRDefault="00E1501E" w:rsidP="00E1501E">
            <w:pPr>
              <w:jc w:val="left"/>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sidRPr="00E1501E">
              <w:rPr>
                <w:rStyle w:val="Strong"/>
                <w:rFonts w:ascii="Arial" w:hAnsi="Arial" w:cs="Arial"/>
                <w:b/>
                <w:bCs/>
                <w:sz w:val="18"/>
                <w:szCs w:val="18"/>
                <w:bdr w:val="none" w:sz="0" w:space="0" w:color="auto" w:frame="1"/>
              </w:rPr>
              <w:t>Key Testing Procedures</w:t>
            </w:r>
          </w:p>
        </w:tc>
      </w:tr>
      <w:tr w:rsidR="00E1501E" w:rsidRPr="00E1501E" w14:paraId="2679F427" w14:textId="77777777" w:rsidTr="00C850E7">
        <w:trPr>
          <w:cnfStyle w:val="000000100000" w:firstRow="0" w:lastRow="0" w:firstColumn="0" w:lastColumn="0" w:oddVBand="0" w:evenVBand="0" w:oddHBand="1" w:evenHBand="0" w:firstRowFirstColumn="0" w:firstRowLastColumn="0" w:lastRowFirstColumn="0" w:lastRowLastColumn="0"/>
          <w:trHeight w:val="1451"/>
        </w:trPr>
        <w:tc>
          <w:tcPr>
            <w:cnfStyle w:val="001000000000" w:firstRow="0" w:lastRow="0" w:firstColumn="1" w:lastColumn="0" w:oddVBand="0" w:evenVBand="0" w:oddHBand="0" w:evenHBand="0" w:firstRowFirstColumn="0" w:firstRowLastColumn="0" w:lastRowFirstColumn="0" w:lastRowLastColumn="0"/>
            <w:tcW w:w="1838" w:type="dxa"/>
          </w:tcPr>
          <w:p w14:paraId="0BDFEB26" w14:textId="69209959" w:rsidR="00E1501E" w:rsidRPr="00C850E7" w:rsidRDefault="00E1501E" w:rsidP="00E1501E">
            <w:pPr>
              <w:jc w:val="left"/>
              <w:rPr>
                <w:rFonts w:ascii="Arial" w:hAnsi="Arial" w:cs="Arial"/>
                <w:sz w:val="18"/>
                <w:szCs w:val="18"/>
              </w:rPr>
            </w:pPr>
            <w:r w:rsidRPr="00C850E7">
              <w:rPr>
                <w:rFonts w:ascii="Arial" w:hAnsi="Arial" w:cs="Arial"/>
                <w:color w:val="1F1F1F"/>
                <w:sz w:val="18"/>
                <w:szCs w:val="18"/>
                <w:bdr w:val="none" w:sz="0" w:space="0" w:color="auto" w:frame="1"/>
              </w:rPr>
              <w:t>Governance and documentation</w:t>
            </w:r>
          </w:p>
        </w:tc>
        <w:tc>
          <w:tcPr>
            <w:tcW w:w="7784" w:type="dxa"/>
          </w:tcPr>
          <w:p w14:paraId="277A4E54" w14:textId="3202143A" w:rsidR="00836EB9" w:rsidRDefault="00E1501E" w:rsidP="00DB1E3C">
            <w:pPr>
              <w:pStyle w:val="Tablebullet"/>
              <w:ind w:left="170" w:hanging="170"/>
              <w:cnfStyle w:val="000000100000" w:firstRow="0" w:lastRow="0" w:firstColumn="0" w:lastColumn="0" w:oddVBand="0" w:evenVBand="0" w:oddHBand="1" w:evenHBand="0" w:firstRowFirstColumn="0" w:firstRowLastColumn="0" w:lastRowFirstColumn="0" w:lastRowLastColumn="0"/>
              <w:rPr>
                <w:rStyle w:val="citation-118"/>
                <w:b/>
                <w:iCs/>
                <w:sz w:val="22"/>
              </w:rPr>
            </w:pPr>
            <w:r w:rsidRPr="006960D1">
              <w:rPr>
                <w:rStyle w:val="citation-118"/>
                <w:b/>
                <w:bCs/>
              </w:rPr>
              <w:t xml:space="preserve">Review </w:t>
            </w:r>
            <w:r w:rsidR="005B37FB" w:rsidRPr="006960D1">
              <w:rPr>
                <w:rStyle w:val="citation-118"/>
                <w:b/>
                <w:bCs/>
              </w:rPr>
              <w:t>f</w:t>
            </w:r>
            <w:r w:rsidRPr="006960D1">
              <w:rPr>
                <w:rStyle w:val="citation-118"/>
                <w:b/>
                <w:bCs/>
              </w:rPr>
              <w:t>rameworks:</w:t>
            </w:r>
            <w:r w:rsidRPr="00836EB9">
              <w:rPr>
                <w:rStyle w:val="citation-118"/>
              </w:rPr>
              <w:t xml:space="preserve"> Assess policies for development, validation, and monitoring to ensure they align with ethics guidelines and board oversight.</w:t>
            </w:r>
            <w:r w:rsidR="00836EB9" w:rsidRPr="00836EB9">
              <w:rPr>
                <w:rStyle w:val="citation-118"/>
              </w:rPr>
              <w:t xml:space="preserve"> </w:t>
            </w:r>
          </w:p>
          <w:p w14:paraId="768ECCAE" w14:textId="2D2D5C85" w:rsidR="00836EB9" w:rsidRDefault="00836EB9" w:rsidP="00DB1E3C">
            <w:pPr>
              <w:pStyle w:val="Tablebullet"/>
              <w:ind w:left="170" w:hanging="170"/>
              <w:cnfStyle w:val="000000100000" w:firstRow="0" w:lastRow="0" w:firstColumn="0" w:lastColumn="0" w:oddVBand="0" w:evenVBand="0" w:oddHBand="1" w:evenHBand="0" w:firstRowFirstColumn="0" w:firstRowLastColumn="0" w:lastRowFirstColumn="0" w:lastRowLastColumn="0"/>
              <w:rPr>
                <w:rStyle w:val="citation-118"/>
                <w:b/>
                <w:iCs/>
                <w:sz w:val="22"/>
              </w:rPr>
            </w:pPr>
            <w:r w:rsidRPr="006960D1">
              <w:rPr>
                <w:rStyle w:val="citation-118"/>
                <w:b/>
                <w:bCs/>
              </w:rPr>
              <w:t xml:space="preserve">Verify </w:t>
            </w:r>
            <w:r w:rsidR="005B37FB" w:rsidRPr="006960D1">
              <w:rPr>
                <w:rStyle w:val="citation-118"/>
                <w:b/>
                <w:bCs/>
              </w:rPr>
              <w:t>d</w:t>
            </w:r>
            <w:r w:rsidRPr="006960D1">
              <w:rPr>
                <w:rStyle w:val="citation-118"/>
                <w:b/>
                <w:bCs/>
              </w:rPr>
              <w:t>ocumentation:</w:t>
            </w:r>
            <w:r w:rsidRPr="00836EB9">
              <w:rPr>
                <w:rStyle w:val="citation-118"/>
              </w:rPr>
              <w:t xml:space="preserve"> Check for</w:t>
            </w:r>
            <w:r w:rsidR="00DC3C60">
              <w:rPr>
                <w:rStyle w:val="citation-118"/>
              </w:rPr>
              <w:t xml:space="preserve"> </w:t>
            </w:r>
            <w:r w:rsidR="002E1B07">
              <w:rPr>
                <w:rStyle w:val="citation-118"/>
              </w:rPr>
              <w:t xml:space="preserve">model cards, fact sheets and </w:t>
            </w:r>
            <w:r w:rsidRPr="00836EB9">
              <w:rPr>
                <w:rStyle w:val="citation-118"/>
              </w:rPr>
              <w:t xml:space="preserve">detailed records of design assumptions, </w:t>
            </w:r>
            <w:r w:rsidR="00C5113A">
              <w:rPr>
                <w:rStyle w:val="citation-118"/>
              </w:rPr>
              <w:t>model</w:t>
            </w:r>
            <w:r w:rsidR="002E1B07">
              <w:rPr>
                <w:rStyle w:val="citation-118"/>
              </w:rPr>
              <w:t xml:space="preserve"> archite</w:t>
            </w:r>
            <w:r w:rsidR="00C5113A">
              <w:rPr>
                <w:rStyle w:val="citation-118"/>
              </w:rPr>
              <w:t xml:space="preserve">cture, </w:t>
            </w:r>
            <w:r w:rsidRPr="00836EB9">
              <w:rPr>
                <w:rStyle w:val="citation-118"/>
              </w:rPr>
              <w:t xml:space="preserve">training data sources, risk classifications, and change logs. </w:t>
            </w:r>
          </w:p>
          <w:p w14:paraId="284CD451" w14:textId="5615DBE4" w:rsidR="00E1501E" w:rsidRPr="00836EB9" w:rsidRDefault="00836EB9" w:rsidP="00DB1E3C">
            <w:pPr>
              <w:pStyle w:val="Tablebullet"/>
              <w:ind w:left="170" w:hanging="170"/>
              <w:cnfStyle w:val="000000100000" w:firstRow="0" w:lastRow="0" w:firstColumn="0" w:lastColumn="0" w:oddVBand="0" w:evenVBand="0" w:oddHBand="1" w:evenHBand="0" w:firstRowFirstColumn="0" w:firstRowLastColumn="0" w:lastRowFirstColumn="0" w:lastRowLastColumn="0"/>
              <w:rPr>
                <w:rStyle w:val="citation-118"/>
                <w:b/>
                <w:iCs/>
                <w:sz w:val="22"/>
              </w:rPr>
            </w:pPr>
            <w:r w:rsidRPr="006960D1">
              <w:rPr>
                <w:rStyle w:val="citation-118"/>
                <w:b/>
                <w:bCs/>
              </w:rPr>
              <w:t xml:space="preserve">Ethical </w:t>
            </w:r>
            <w:r w:rsidR="005B37FB" w:rsidRPr="006960D1">
              <w:rPr>
                <w:rStyle w:val="citation-118"/>
                <w:b/>
                <w:bCs/>
              </w:rPr>
              <w:t>a</w:t>
            </w:r>
            <w:r w:rsidRPr="006960D1">
              <w:rPr>
                <w:rStyle w:val="citation-118"/>
                <w:b/>
                <w:bCs/>
              </w:rPr>
              <w:t>ssessments:</w:t>
            </w:r>
            <w:r w:rsidRPr="00836EB9">
              <w:rPr>
                <w:rStyle w:val="citation-118"/>
              </w:rPr>
              <w:t xml:space="preserve"> Confirm that fairness and bias impact assessments were documented </w:t>
            </w:r>
            <w:r w:rsidR="00FC02E7">
              <w:rPr>
                <w:rStyle w:val="citation-118"/>
              </w:rPr>
              <w:t>before</w:t>
            </w:r>
            <w:r w:rsidRPr="00836EB9">
              <w:rPr>
                <w:rStyle w:val="citation-118"/>
              </w:rPr>
              <w:t xml:space="preserve"> implementation.</w:t>
            </w:r>
          </w:p>
        </w:tc>
      </w:tr>
      <w:tr w:rsidR="00A30499" w:rsidRPr="00E1501E" w14:paraId="2E58EED7" w14:textId="77777777" w:rsidTr="00DB1E3C">
        <w:trPr>
          <w:trHeight w:val="1808"/>
        </w:trPr>
        <w:tc>
          <w:tcPr>
            <w:cnfStyle w:val="001000000000" w:firstRow="0" w:lastRow="0" w:firstColumn="1" w:lastColumn="0" w:oddVBand="0" w:evenVBand="0" w:oddHBand="0" w:evenHBand="0" w:firstRowFirstColumn="0" w:firstRowLastColumn="0" w:lastRowFirstColumn="0" w:lastRowLastColumn="0"/>
            <w:tcW w:w="1838" w:type="dxa"/>
          </w:tcPr>
          <w:p w14:paraId="6761FFB5" w14:textId="4AE7652F" w:rsidR="00A30499" w:rsidRPr="00C850E7" w:rsidRDefault="00A7113A" w:rsidP="00E1501E">
            <w:pPr>
              <w:jc w:val="left"/>
              <w:rPr>
                <w:rFonts w:ascii="Arial" w:hAnsi="Arial" w:cs="Arial"/>
                <w:color w:val="1F1F1F"/>
                <w:sz w:val="18"/>
                <w:szCs w:val="18"/>
                <w:bdr w:val="none" w:sz="0" w:space="0" w:color="auto" w:frame="1"/>
              </w:rPr>
            </w:pPr>
            <w:r>
              <w:rPr>
                <w:rFonts w:ascii="Arial" w:hAnsi="Arial" w:cs="Arial"/>
                <w:color w:val="1F1F1F"/>
                <w:sz w:val="18"/>
                <w:szCs w:val="18"/>
                <w:bdr w:val="none" w:sz="0" w:space="0" w:color="auto" w:frame="1"/>
              </w:rPr>
              <w:t>Model design</w:t>
            </w:r>
          </w:p>
        </w:tc>
        <w:tc>
          <w:tcPr>
            <w:tcW w:w="7784" w:type="dxa"/>
          </w:tcPr>
          <w:p w14:paraId="4ACA8A81" w14:textId="1F83CDF9" w:rsidR="00A30499" w:rsidRPr="00BA75A8" w:rsidRDefault="00D40293" w:rsidP="00E51820">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rStyle w:val="citation-118"/>
              </w:rPr>
            </w:pPr>
            <w:r w:rsidRPr="00BA75A8">
              <w:rPr>
                <w:rStyle w:val="citation-118"/>
              </w:rPr>
              <w:t>Use ‘</w:t>
            </w:r>
            <w:r w:rsidR="00277B01" w:rsidRPr="00BA75A8">
              <w:rPr>
                <w:rStyle w:val="citation-118"/>
              </w:rPr>
              <w:t>Red-Teaming</w:t>
            </w:r>
            <w:r w:rsidR="00133907">
              <w:rPr>
                <w:rStyle w:val="citation-118"/>
              </w:rPr>
              <w:t>'</w:t>
            </w:r>
            <w:r w:rsidR="00277B01" w:rsidRPr="00BA75A8">
              <w:rPr>
                <w:rStyle w:val="citation-118"/>
              </w:rPr>
              <w:t xml:space="preserve"> or </w:t>
            </w:r>
            <w:r w:rsidR="009B28BF" w:rsidRPr="00BA75A8">
              <w:rPr>
                <w:rStyle w:val="citation-118"/>
              </w:rPr>
              <w:t>‘</w:t>
            </w:r>
            <w:r w:rsidR="001D4201">
              <w:rPr>
                <w:rStyle w:val="citation-118"/>
              </w:rPr>
              <w:t>S</w:t>
            </w:r>
            <w:r w:rsidR="00277B01" w:rsidRPr="00BA75A8">
              <w:rPr>
                <w:rStyle w:val="citation-118"/>
              </w:rPr>
              <w:t>ock</w:t>
            </w:r>
            <w:r w:rsidR="001D4201">
              <w:rPr>
                <w:rStyle w:val="citation-118"/>
              </w:rPr>
              <w:t>-</w:t>
            </w:r>
            <w:proofErr w:type="spellStart"/>
            <w:r w:rsidR="001D4201">
              <w:rPr>
                <w:rStyle w:val="citation-118"/>
              </w:rPr>
              <w:t>P</w:t>
            </w:r>
            <w:r w:rsidR="00277B01" w:rsidRPr="00BA75A8">
              <w:rPr>
                <w:rStyle w:val="citation-118"/>
              </w:rPr>
              <w:t>uppeting</w:t>
            </w:r>
            <w:proofErr w:type="spellEnd"/>
            <w:r w:rsidR="009B28BF" w:rsidRPr="00BA75A8">
              <w:rPr>
                <w:rStyle w:val="citation-118"/>
              </w:rPr>
              <w:t>’</w:t>
            </w:r>
            <w:r w:rsidR="00277B01" w:rsidRPr="00BA75A8">
              <w:rPr>
                <w:rStyle w:val="citation-118"/>
              </w:rPr>
              <w:t xml:space="preserve"> </w:t>
            </w:r>
            <w:r w:rsidR="00D85D41">
              <w:rPr>
                <w:rStyle w:val="citation-118"/>
              </w:rPr>
              <w:t xml:space="preserve">techniques </w:t>
            </w:r>
            <w:r w:rsidR="00277B01" w:rsidRPr="00BA75A8">
              <w:rPr>
                <w:rStyle w:val="citation-118"/>
              </w:rPr>
              <w:t>for high-risk</w:t>
            </w:r>
            <w:r w:rsidR="002C6C43">
              <w:rPr>
                <w:rStyle w:val="citation-118"/>
              </w:rPr>
              <w:t xml:space="preserve"> or</w:t>
            </w:r>
            <w:r w:rsidR="00277B01" w:rsidRPr="00BA75A8">
              <w:rPr>
                <w:rStyle w:val="citation-118"/>
              </w:rPr>
              <w:t xml:space="preserve"> unsupervised systems</w:t>
            </w:r>
            <w:r w:rsidR="003F7110">
              <w:rPr>
                <w:rStyle w:val="citation-118"/>
              </w:rPr>
              <w:t>,</w:t>
            </w:r>
            <w:r w:rsidR="00277B01" w:rsidRPr="00BA75A8">
              <w:rPr>
                <w:rStyle w:val="citation-118"/>
              </w:rPr>
              <w:t xml:space="preserve"> to verify if safeguards actually work in real-time</w:t>
            </w:r>
            <w:r w:rsidR="003F7110">
              <w:rPr>
                <w:rStyle w:val="citation-118"/>
              </w:rPr>
              <w:t>:</w:t>
            </w:r>
          </w:p>
          <w:p w14:paraId="69A75264" w14:textId="34598297" w:rsidR="00D77D57" w:rsidRPr="00D77D57" w:rsidRDefault="00BA75A8" w:rsidP="00DB1E3C">
            <w:pPr>
              <w:pStyle w:val="Tablebullet"/>
              <w:ind w:left="170" w:hanging="142"/>
              <w:cnfStyle w:val="000000000000" w:firstRow="0" w:lastRow="0" w:firstColumn="0" w:lastColumn="0" w:oddVBand="0" w:evenVBand="0" w:oddHBand="0" w:evenHBand="0" w:firstRowFirstColumn="0" w:firstRowLastColumn="0" w:lastRowFirstColumn="0" w:lastRowLastColumn="0"/>
              <w:rPr>
                <w:rStyle w:val="citation-118"/>
                <w:b/>
                <w:bCs/>
                <w:iCs/>
                <w:sz w:val="22"/>
              </w:rPr>
            </w:pPr>
            <w:r w:rsidRPr="00117321">
              <w:rPr>
                <w:rStyle w:val="citation-118"/>
                <w:b/>
                <w:bCs/>
              </w:rPr>
              <w:t>Red-</w:t>
            </w:r>
            <w:r w:rsidR="00117321" w:rsidRPr="00117321">
              <w:rPr>
                <w:rStyle w:val="citation-118"/>
                <w:b/>
                <w:bCs/>
              </w:rPr>
              <w:t>T</w:t>
            </w:r>
            <w:r w:rsidRPr="00117321">
              <w:rPr>
                <w:rStyle w:val="citation-118"/>
                <w:b/>
                <w:bCs/>
              </w:rPr>
              <w:t xml:space="preserve">eaming: </w:t>
            </w:r>
            <w:r w:rsidR="007D6E84" w:rsidRPr="007D6E84">
              <w:rPr>
                <w:rStyle w:val="citation-118"/>
              </w:rPr>
              <w:t>Adversarial testing to uncover harmful, unexpected or unsafe behaviours.</w:t>
            </w:r>
            <w:r w:rsidR="00117321" w:rsidRPr="00117321">
              <w:rPr>
                <w:rStyle w:val="citation-118"/>
              </w:rPr>
              <w:t>.</w:t>
            </w:r>
          </w:p>
          <w:p w14:paraId="24B277E6" w14:textId="41E06743" w:rsidR="00FA7C36" w:rsidRPr="001D4201" w:rsidRDefault="00D77D57" w:rsidP="00DB1E3C">
            <w:pPr>
              <w:pStyle w:val="Tablebullet"/>
              <w:ind w:left="170" w:hanging="142"/>
              <w:cnfStyle w:val="000000000000" w:firstRow="0" w:lastRow="0" w:firstColumn="0" w:lastColumn="0" w:oddVBand="0" w:evenVBand="0" w:oddHBand="0" w:evenHBand="0" w:firstRowFirstColumn="0" w:firstRowLastColumn="0" w:lastRowFirstColumn="0" w:lastRowLastColumn="0"/>
              <w:rPr>
                <w:rStyle w:val="citation-118"/>
                <w:b/>
                <w:bCs/>
                <w:iCs/>
                <w:sz w:val="22"/>
              </w:rPr>
            </w:pPr>
            <w:r w:rsidRPr="00D77D57">
              <w:rPr>
                <w:rStyle w:val="citation-118"/>
                <w:b/>
                <w:bCs/>
              </w:rPr>
              <w:t>Sock</w:t>
            </w:r>
            <w:r w:rsidR="001D4201">
              <w:rPr>
                <w:rStyle w:val="citation-118"/>
                <w:b/>
                <w:bCs/>
              </w:rPr>
              <w:t>-</w:t>
            </w:r>
            <w:proofErr w:type="spellStart"/>
            <w:r w:rsidR="001D4201">
              <w:rPr>
                <w:rStyle w:val="citation-118"/>
                <w:b/>
                <w:bCs/>
              </w:rPr>
              <w:t>P</w:t>
            </w:r>
            <w:r w:rsidRPr="00D77D57">
              <w:rPr>
                <w:rStyle w:val="citation-118"/>
                <w:b/>
                <w:bCs/>
              </w:rPr>
              <w:t>uppeting</w:t>
            </w:r>
            <w:proofErr w:type="spellEnd"/>
            <w:r>
              <w:rPr>
                <w:rStyle w:val="citation-118"/>
                <w:b/>
                <w:bCs/>
              </w:rPr>
              <w:t xml:space="preserve">: </w:t>
            </w:r>
            <w:r w:rsidR="006639CC" w:rsidRPr="006639CC">
              <w:rPr>
                <w:rStyle w:val="citation-118"/>
              </w:rPr>
              <w:t>Creating synthetic personas, prompts or scenarios to trigger risky or prohibited behaviours.</w:t>
            </w:r>
          </w:p>
          <w:p w14:paraId="0F9AD16F" w14:textId="06A0A9B2" w:rsidR="00A56B61" w:rsidRPr="00DB1E3C" w:rsidRDefault="00FA7C36" w:rsidP="00DB1E3C">
            <w:pPr>
              <w:pStyle w:val="Tablebullet"/>
              <w:ind w:left="170" w:hanging="142"/>
              <w:cnfStyle w:val="000000000000" w:firstRow="0" w:lastRow="0" w:firstColumn="0" w:lastColumn="0" w:oddVBand="0" w:evenVBand="0" w:oddHBand="0" w:evenHBand="0" w:firstRowFirstColumn="0" w:firstRowLastColumn="0" w:lastRowFirstColumn="0" w:lastRowLastColumn="0"/>
              <w:rPr>
                <w:rStyle w:val="citation-118"/>
                <w:b/>
                <w:bCs/>
              </w:rPr>
            </w:pPr>
            <w:r w:rsidRPr="00DB1E3C">
              <w:rPr>
                <w:rStyle w:val="citation-118"/>
                <w:b/>
                <w:bCs/>
              </w:rPr>
              <w:t>Stress</w:t>
            </w:r>
            <w:r w:rsidRPr="00DB1E3C">
              <w:rPr>
                <w:rStyle w:val="citation-118"/>
                <w:rFonts w:ascii="Cambria Math" w:hAnsi="Cambria Math" w:cs="Cambria Math"/>
                <w:b/>
                <w:bCs/>
              </w:rPr>
              <w:t>‑</w:t>
            </w:r>
            <w:r w:rsidRPr="00DB1E3C">
              <w:rPr>
                <w:rStyle w:val="citation-118"/>
                <w:b/>
                <w:bCs/>
              </w:rPr>
              <w:t>testing:</w:t>
            </w:r>
            <w:r w:rsidRPr="00FA7C36">
              <w:rPr>
                <w:rStyle w:val="citation-118"/>
              </w:rPr>
              <w:t xml:space="preserve"> Acting as an adversary to expose how the model behaves under pressure.</w:t>
            </w:r>
            <w:r w:rsidR="0054359D" w:rsidRPr="0054359D">
              <w:rPr>
                <w:rStyle w:val="citation-118"/>
              </w:rPr>
              <w:t xml:space="preserve"> </w:t>
            </w:r>
          </w:p>
          <w:p w14:paraId="1F3F8218" w14:textId="0AF9B609" w:rsidR="001D4201" w:rsidRPr="00FA7C36" w:rsidRDefault="00A56B61" w:rsidP="00DB1E3C">
            <w:pPr>
              <w:pStyle w:val="Tablebullet"/>
              <w:ind w:left="170" w:hanging="142"/>
              <w:cnfStyle w:val="000000000000" w:firstRow="0" w:lastRow="0" w:firstColumn="0" w:lastColumn="0" w:oddVBand="0" w:evenVBand="0" w:oddHBand="0" w:evenHBand="0" w:firstRowFirstColumn="0" w:firstRowLastColumn="0" w:lastRowFirstColumn="0" w:lastRowLastColumn="0"/>
              <w:rPr>
                <w:rStyle w:val="citation-118"/>
                <w:b/>
                <w:bCs/>
              </w:rPr>
            </w:pPr>
            <w:r w:rsidRPr="00DB1E3C">
              <w:rPr>
                <w:rStyle w:val="citation-118"/>
                <w:b/>
                <w:bCs/>
              </w:rPr>
              <w:t>Jailbreaking:</w:t>
            </w:r>
            <w:r w:rsidRPr="00A56B61">
              <w:rPr>
                <w:rStyle w:val="citation-118"/>
              </w:rPr>
              <w:t xml:space="preserve"> Attempting to bypass guardrails or induce policy</w:t>
            </w:r>
            <w:r w:rsidRPr="00A56B61">
              <w:rPr>
                <w:rStyle w:val="citation-118"/>
                <w:rFonts w:ascii="Cambria Math" w:hAnsi="Cambria Math" w:cs="Cambria Math"/>
              </w:rPr>
              <w:t>‑</w:t>
            </w:r>
            <w:r w:rsidRPr="00A56B61">
              <w:rPr>
                <w:rStyle w:val="citation-118"/>
              </w:rPr>
              <w:t>violating outputs.</w:t>
            </w:r>
          </w:p>
          <w:p w14:paraId="359BA014" w14:textId="06AC3430" w:rsidR="0054359D" w:rsidRPr="001D4201" w:rsidRDefault="0054359D" w:rsidP="00DB1E3C">
            <w:pPr>
              <w:pStyle w:val="Tablebullet"/>
              <w:numPr>
                <w:ilvl w:val="0"/>
                <w:numId w:val="0"/>
              </w:numPr>
              <w:ind w:left="360"/>
              <w:cnfStyle w:val="000000000000" w:firstRow="0" w:lastRow="0" w:firstColumn="0" w:lastColumn="0" w:oddVBand="0" w:evenVBand="0" w:oddHBand="0" w:evenHBand="0" w:firstRowFirstColumn="0" w:firstRowLastColumn="0" w:lastRowFirstColumn="0" w:lastRowLastColumn="0"/>
              <w:rPr>
                <w:rStyle w:val="citation-118"/>
                <w:b/>
                <w:bCs/>
              </w:rPr>
            </w:pPr>
          </w:p>
        </w:tc>
      </w:tr>
      <w:tr w:rsidR="00E1501E" w:rsidRPr="00E1501E" w14:paraId="616D8E71" w14:textId="77777777" w:rsidTr="00C85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F985602" w14:textId="4BFF57DE" w:rsidR="00E1501E" w:rsidRPr="00C850E7" w:rsidRDefault="00E1501E" w:rsidP="00E1501E">
            <w:pPr>
              <w:jc w:val="left"/>
              <w:rPr>
                <w:rFonts w:ascii="Arial" w:hAnsi="Arial" w:cs="Arial"/>
                <w:sz w:val="18"/>
                <w:szCs w:val="18"/>
              </w:rPr>
            </w:pPr>
            <w:r w:rsidRPr="00C850E7">
              <w:rPr>
                <w:rFonts w:ascii="Arial" w:hAnsi="Arial" w:cs="Arial"/>
                <w:color w:val="1F1F1F"/>
                <w:sz w:val="18"/>
                <w:szCs w:val="18"/>
                <w:bdr w:val="none" w:sz="0" w:space="0" w:color="auto" w:frame="1"/>
              </w:rPr>
              <w:t>Human oversight and transparency</w:t>
            </w:r>
          </w:p>
        </w:tc>
        <w:tc>
          <w:tcPr>
            <w:tcW w:w="7784" w:type="dxa"/>
          </w:tcPr>
          <w:p w14:paraId="6A51E67D" w14:textId="485D41DE" w:rsidR="00E1501E" w:rsidRPr="00836EB9" w:rsidRDefault="00E1501E" w:rsidP="00DB1E3C">
            <w:pPr>
              <w:pStyle w:val="Tablebullet"/>
              <w:ind w:left="170" w:hanging="170"/>
              <w:cnfStyle w:val="000000100000" w:firstRow="0" w:lastRow="0" w:firstColumn="0" w:lastColumn="0" w:oddVBand="0" w:evenVBand="0" w:oddHBand="1" w:evenHBand="0" w:firstRowFirstColumn="0" w:firstRowLastColumn="0" w:lastRowFirstColumn="0" w:lastRowLastColumn="0"/>
              <w:rPr>
                <w:rStyle w:val="citation-118"/>
                <w:rFonts w:ascii="Arial" w:hAnsi="Arial" w:cs="Arial"/>
                <w:color w:val="1F1F1F"/>
                <w:bdr w:val="none" w:sz="0" w:space="0" w:color="auto" w:frame="1"/>
              </w:rPr>
            </w:pPr>
            <w:r w:rsidRPr="006960D1">
              <w:rPr>
                <w:rStyle w:val="citation-118"/>
                <w:b/>
                <w:bCs/>
              </w:rPr>
              <w:t xml:space="preserve">Test </w:t>
            </w:r>
            <w:r w:rsidR="006F192E" w:rsidRPr="006960D1">
              <w:rPr>
                <w:rStyle w:val="citation-118"/>
                <w:b/>
                <w:bCs/>
              </w:rPr>
              <w:t>o</w:t>
            </w:r>
            <w:r w:rsidRPr="006960D1">
              <w:rPr>
                <w:rStyle w:val="citation-118"/>
                <w:b/>
                <w:bCs/>
              </w:rPr>
              <w:t xml:space="preserve">versight </w:t>
            </w:r>
            <w:r w:rsidR="006F192E" w:rsidRPr="006960D1">
              <w:rPr>
                <w:rStyle w:val="citation-118"/>
                <w:b/>
                <w:bCs/>
              </w:rPr>
              <w:t>m</w:t>
            </w:r>
            <w:r w:rsidRPr="006960D1">
              <w:rPr>
                <w:rStyle w:val="citation-118"/>
                <w:b/>
                <w:bCs/>
              </w:rPr>
              <w:t>echanisms:</w:t>
            </w:r>
            <w:r w:rsidRPr="00836EB9">
              <w:rPr>
                <w:rStyle w:val="citation-118"/>
              </w:rPr>
              <w:t xml:space="preserve"> Verify that "Human-in-the-Loop" protocols are effective and that designated reviewers have the authority to intervene.</w:t>
            </w:r>
          </w:p>
          <w:p w14:paraId="02285C67" w14:textId="118FA289" w:rsidR="00E1501E" w:rsidRPr="00836EB9" w:rsidRDefault="00E1501E" w:rsidP="00DB1E3C">
            <w:pPr>
              <w:pStyle w:val="Tablebullet"/>
              <w:ind w:left="170" w:hanging="170"/>
              <w:cnfStyle w:val="000000100000" w:firstRow="0" w:lastRow="0" w:firstColumn="0" w:lastColumn="0" w:oddVBand="0" w:evenVBand="0" w:oddHBand="1" w:evenHBand="0" w:firstRowFirstColumn="0" w:firstRowLastColumn="0" w:lastRowFirstColumn="0" w:lastRowLastColumn="0"/>
              <w:rPr>
                <w:rStyle w:val="citation-118"/>
                <w:rFonts w:ascii="Arial" w:hAnsi="Arial" w:cs="Arial"/>
                <w:color w:val="1F1F1F"/>
                <w:bdr w:val="none" w:sz="0" w:space="0" w:color="auto" w:frame="1"/>
              </w:rPr>
            </w:pPr>
            <w:r w:rsidRPr="006960D1">
              <w:rPr>
                <w:rStyle w:val="citation-118"/>
                <w:b/>
                <w:bCs/>
              </w:rPr>
              <w:t xml:space="preserve">Review </w:t>
            </w:r>
            <w:r w:rsidR="006960D1" w:rsidRPr="006960D1">
              <w:rPr>
                <w:rStyle w:val="citation-118"/>
                <w:b/>
                <w:bCs/>
              </w:rPr>
              <w:t>d</w:t>
            </w:r>
            <w:r w:rsidRPr="006960D1">
              <w:rPr>
                <w:rStyle w:val="citation-118"/>
                <w:b/>
                <w:bCs/>
              </w:rPr>
              <w:t>isclosures:</w:t>
            </w:r>
            <w:r w:rsidRPr="00836EB9">
              <w:rPr>
                <w:rStyle w:val="citation-118"/>
              </w:rPr>
              <w:t xml:space="preserve"> </w:t>
            </w:r>
            <w:r w:rsidR="00C7128A" w:rsidRPr="00C7128A">
              <w:rPr>
                <w:rStyle w:val="citation-118"/>
              </w:rPr>
              <w:t>Confirm that user</w:t>
            </w:r>
            <w:r w:rsidR="00C7128A" w:rsidRPr="00C7128A">
              <w:rPr>
                <w:rStyle w:val="citation-118"/>
                <w:rFonts w:ascii="Cambria Math" w:hAnsi="Cambria Math" w:cs="Cambria Math"/>
              </w:rPr>
              <w:t>‑</w:t>
            </w:r>
            <w:r w:rsidR="00C7128A" w:rsidRPr="00C7128A">
              <w:rPr>
                <w:rStyle w:val="citation-118"/>
              </w:rPr>
              <w:t>facing interfaces inform individuals when they are interacting with AI and provide avenues for challenge or appeal.</w:t>
            </w:r>
          </w:p>
        </w:tc>
      </w:tr>
      <w:tr w:rsidR="00E1501E" w:rsidRPr="00E1501E" w14:paraId="59E4C7D4" w14:textId="77777777" w:rsidTr="00C850E7">
        <w:tc>
          <w:tcPr>
            <w:cnfStyle w:val="001000000000" w:firstRow="0" w:lastRow="0" w:firstColumn="1" w:lastColumn="0" w:oddVBand="0" w:evenVBand="0" w:oddHBand="0" w:evenHBand="0" w:firstRowFirstColumn="0" w:firstRowLastColumn="0" w:lastRowFirstColumn="0" w:lastRowLastColumn="0"/>
            <w:tcW w:w="1838" w:type="dxa"/>
          </w:tcPr>
          <w:p w14:paraId="7BA23827" w14:textId="58BB3F3B" w:rsidR="00E1501E" w:rsidRPr="00C850E7" w:rsidRDefault="00E1501E" w:rsidP="00E1501E">
            <w:pPr>
              <w:jc w:val="left"/>
              <w:rPr>
                <w:rFonts w:ascii="Arial" w:hAnsi="Arial" w:cs="Arial"/>
                <w:sz w:val="18"/>
                <w:szCs w:val="18"/>
              </w:rPr>
            </w:pPr>
            <w:r w:rsidRPr="00C850E7">
              <w:rPr>
                <w:rFonts w:ascii="Arial" w:hAnsi="Arial" w:cs="Arial"/>
                <w:color w:val="1F1F1F"/>
                <w:sz w:val="18"/>
                <w:szCs w:val="18"/>
                <w:bdr w:val="none" w:sz="0" w:space="0" w:color="auto" w:frame="1"/>
              </w:rPr>
              <w:t>Cyber, cloud and API security</w:t>
            </w:r>
          </w:p>
        </w:tc>
        <w:tc>
          <w:tcPr>
            <w:tcW w:w="7784" w:type="dxa"/>
          </w:tcPr>
          <w:p w14:paraId="00DD4F0A" w14:textId="77777777" w:rsidR="00484879" w:rsidRPr="00484879" w:rsidRDefault="00E1501E" w:rsidP="00DB1E3C">
            <w:pPr>
              <w:pStyle w:val="Tablebullet"/>
              <w:ind w:left="170" w:hanging="170"/>
              <w:cnfStyle w:val="000000000000" w:firstRow="0" w:lastRow="0" w:firstColumn="0" w:lastColumn="0" w:oddVBand="0" w:evenVBand="0" w:oddHBand="0" w:evenHBand="0" w:firstRowFirstColumn="0" w:firstRowLastColumn="0" w:lastRowFirstColumn="0" w:lastRowLastColumn="0"/>
              <w:rPr>
                <w:rStyle w:val="citation-118"/>
              </w:rPr>
            </w:pPr>
            <w:r w:rsidRPr="0057587B">
              <w:rPr>
                <w:rStyle w:val="citation-118"/>
                <w:b/>
                <w:bCs/>
              </w:rPr>
              <w:t xml:space="preserve">Cloud </w:t>
            </w:r>
            <w:r w:rsidR="0057587B" w:rsidRPr="0057587B">
              <w:rPr>
                <w:rStyle w:val="citation-118"/>
                <w:b/>
                <w:bCs/>
              </w:rPr>
              <w:t>s</w:t>
            </w:r>
            <w:r w:rsidRPr="0057587B">
              <w:rPr>
                <w:rStyle w:val="citation-118"/>
                <w:b/>
                <w:bCs/>
              </w:rPr>
              <w:t>ecurity:</w:t>
            </w:r>
            <w:r w:rsidRPr="00484879">
              <w:rPr>
                <w:rStyle w:val="citation-118"/>
                <w:b/>
                <w:bCs/>
              </w:rPr>
              <w:t xml:space="preserve"> </w:t>
            </w:r>
            <w:r w:rsidRPr="00484879">
              <w:rPr>
                <w:rStyle w:val="citation-118"/>
              </w:rPr>
              <w:t xml:space="preserve">Review tenant isolation, </w:t>
            </w:r>
            <w:r w:rsidR="0057587B" w:rsidRPr="00484879">
              <w:rPr>
                <w:rStyle w:val="citation-118"/>
              </w:rPr>
              <w:t>i</w:t>
            </w:r>
            <w:r w:rsidRPr="00484879">
              <w:rPr>
                <w:rStyle w:val="citation-118"/>
              </w:rPr>
              <w:t xml:space="preserve">dentity </w:t>
            </w:r>
            <w:r w:rsidR="0057587B" w:rsidRPr="00484879">
              <w:rPr>
                <w:rStyle w:val="citation-118"/>
              </w:rPr>
              <w:t xml:space="preserve">access </w:t>
            </w:r>
            <w:r w:rsidRPr="00484879">
              <w:rPr>
                <w:rStyle w:val="citation-118"/>
              </w:rPr>
              <w:t>management (IAM), and data residency compliance.</w:t>
            </w:r>
            <w:r w:rsidR="00484879" w:rsidRPr="00484879">
              <w:rPr>
                <w:rStyle w:val="citation-118"/>
              </w:rPr>
              <w:t xml:space="preserve"> </w:t>
            </w:r>
          </w:p>
          <w:p w14:paraId="276E107E" w14:textId="5C1D7BFB" w:rsidR="0056176D" w:rsidRPr="00DB1E3C" w:rsidRDefault="00484879" w:rsidP="00DB1E3C">
            <w:pPr>
              <w:pStyle w:val="Tablebullet"/>
              <w:ind w:left="170" w:hanging="170"/>
              <w:cnfStyle w:val="000000000000" w:firstRow="0" w:lastRow="0" w:firstColumn="0" w:lastColumn="0" w:oddVBand="0" w:evenVBand="0" w:oddHBand="0" w:evenHBand="0" w:firstRowFirstColumn="0" w:firstRowLastColumn="0" w:lastRowFirstColumn="0" w:lastRowLastColumn="0"/>
              <w:rPr>
                <w:rStyle w:val="citation-118"/>
                <w:rFonts w:ascii="Arial" w:hAnsi="Arial" w:cs="Arial"/>
                <w:color w:val="1F1F1F"/>
                <w:bdr w:val="none" w:sz="0" w:space="0" w:color="auto" w:frame="1"/>
              </w:rPr>
            </w:pPr>
            <w:r w:rsidRPr="00484879">
              <w:rPr>
                <w:rStyle w:val="citation-118"/>
                <w:b/>
                <w:bCs/>
              </w:rPr>
              <w:t xml:space="preserve">API Integrity: </w:t>
            </w:r>
            <w:r w:rsidR="0056176D" w:rsidRPr="0056176D">
              <w:rPr>
                <w:rStyle w:val="citation-118"/>
              </w:rPr>
              <w:t>Evaluate authentication, rate</w:t>
            </w:r>
            <w:r w:rsidR="0056176D" w:rsidRPr="0056176D">
              <w:rPr>
                <w:rStyle w:val="citation-118"/>
                <w:rFonts w:ascii="Cambria Math" w:hAnsi="Cambria Math" w:cs="Cambria Math"/>
              </w:rPr>
              <w:t>‑</w:t>
            </w:r>
            <w:r w:rsidR="0056176D" w:rsidRPr="0056176D">
              <w:rPr>
                <w:rStyle w:val="citation-118"/>
              </w:rPr>
              <w:t>limiting and logging to detect unusual activity or potential data exfiltration.</w:t>
            </w:r>
          </w:p>
          <w:p w14:paraId="19512AD4" w14:textId="722A44BE" w:rsidR="00E1501E" w:rsidRPr="00836EB9" w:rsidRDefault="00E1501E" w:rsidP="00DB1E3C">
            <w:pPr>
              <w:pStyle w:val="Tablebullet"/>
              <w:ind w:left="170" w:hanging="170"/>
              <w:cnfStyle w:val="000000000000" w:firstRow="0" w:lastRow="0" w:firstColumn="0" w:lastColumn="0" w:oddVBand="0" w:evenVBand="0" w:oddHBand="0" w:evenHBand="0" w:firstRowFirstColumn="0" w:firstRowLastColumn="0" w:lastRowFirstColumn="0" w:lastRowLastColumn="0"/>
              <w:rPr>
                <w:rStyle w:val="citation-118"/>
                <w:rFonts w:ascii="Arial" w:hAnsi="Arial" w:cs="Arial"/>
                <w:color w:val="1F1F1F"/>
                <w:bdr w:val="none" w:sz="0" w:space="0" w:color="auto" w:frame="1"/>
              </w:rPr>
            </w:pPr>
            <w:r w:rsidRPr="00427A76">
              <w:rPr>
                <w:rStyle w:val="citation-118"/>
                <w:b/>
                <w:bCs/>
              </w:rPr>
              <w:t xml:space="preserve">Cyber </w:t>
            </w:r>
            <w:r w:rsidR="00427A76">
              <w:rPr>
                <w:rStyle w:val="citation-118"/>
                <w:b/>
                <w:bCs/>
              </w:rPr>
              <w:t>d</w:t>
            </w:r>
            <w:r w:rsidR="009A0F7B" w:rsidRPr="00427A76">
              <w:rPr>
                <w:rStyle w:val="citation-118"/>
                <w:b/>
                <w:bCs/>
              </w:rPr>
              <w:t>efences</w:t>
            </w:r>
            <w:r w:rsidRPr="00427A76">
              <w:rPr>
                <w:rStyle w:val="citation-118"/>
                <w:b/>
                <w:bCs/>
              </w:rPr>
              <w:t>:</w:t>
            </w:r>
            <w:r w:rsidRPr="00484879">
              <w:rPr>
                <w:rStyle w:val="citation-118"/>
                <w:b/>
                <w:bCs/>
              </w:rPr>
              <w:t xml:space="preserve"> </w:t>
            </w:r>
            <w:r w:rsidR="005648D6" w:rsidRPr="005648D6">
              <w:rPr>
                <w:rStyle w:val="citation-118"/>
              </w:rPr>
              <w:t>Assess encryption, patching and intrusion</w:t>
            </w:r>
            <w:r w:rsidR="005648D6" w:rsidRPr="005648D6">
              <w:rPr>
                <w:rStyle w:val="citation-118"/>
                <w:rFonts w:ascii="Cambria Math" w:hAnsi="Cambria Math" w:cs="Cambria Math"/>
              </w:rPr>
              <w:t>‑</w:t>
            </w:r>
            <w:r w:rsidR="005648D6" w:rsidRPr="005648D6">
              <w:rPr>
                <w:rStyle w:val="citation-118"/>
              </w:rPr>
              <w:t>detection measures against adversarial attacks such as data poisoning.</w:t>
            </w:r>
          </w:p>
        </w:tc>
      </w:tr>
      <w:tr w:rsidR="00E1501E" w:rsidRPr="00E1501E" w14:paraId="475B8527" w14:textId="77777777" w:rsidTr="00C85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2FE79A4" w14:textId="0A8F5214" w:rsidR="00E1501E" w:rsidRPr="00C850E7" w:rsidRDefault="00E1501E" w:rsidP="00E1501E">
            <w:pPr>
              <w:jc w:val="left"/>
              <w:rPr>
                <w:rFonts w:ascii="Arial" w:hAnsi="Arial" w:cs="Arial"/>
                <w:sz w:val="18"/>
                <w:szCs w:val="18"/>
              </w:rPr>
            </w:pPr>
            <w:r w:rsidRPr="00C850E7">
              <w:rPr>
                <w:rFonts w:ascii="Arial" w:hAnsi="Arial" w:cs="Arial"/>
                <w:color w:val="1F1F1F"/>
                <w:sz w:val="18"/>
                <w:szCs w:val="18"/>
                <w:bdr w:val="none" w:sz="0" w:space="0" w:color="auto" w:frame="1"/>
              </w:rPr>
              <w:t>Incident Management</w:t>
            </w:r>
          </w:p>
        </w:tc>
        <w:tc>
          <w:tcPr>
            <w:tcW w:w="7784" w:type="dxa"/>
          </w:tcPr>
          <w:p w14:paraId="374C9219" w14:textId="5A9C10D4" w:rsidR="00E1501E" w:rsidRPr="00836EB9" w:rsidRDefault="00E1501E" w:rsidP="00DB1E3C">
            <w:pPr>
              <w:pStyle w:val="Tablebullet"/>
              <w:ind w:left="170" w:hanging="142"/>
              <w:cnfStyle w:val="000000100000" w:firstRow="0" w:lastRow="0" w:firstColumn="0" w:lastColumn="0" w:oddVBand="0" w:evenVBand="0" w:oddHBand="1" w:evenHBand="0" w:firstRowFirstColumn="0" w:firstRowLastColumn="0" w:lastRowFirstColumn="0" w:lastRowLastColumn="0"/>
              <w:rPr>
                <w:rStyle w:val="citation-118"/>
                <w:rFonts w:ascii="Arial" w:hAnsi="Arial" w:cs="Arial"/>
                <w:color w:val="1F1F1F"/>
                <w:bdr w:val="none" w:sz="0" w:space="0" w:color="auto" w:frame="1"/>
              </w:rPr>
            </w:pPr>
            <w:r w:rsidRPr="00DE081B">
              <w:rPr>
                <w:rStyle w:val="citation-118"/>
                <w:b/>
                <w:bCs/>
              </w:rPr>
              <w:t xml:space="preserve">Simulation </w:t>
            </w:r>
            <w:r w:rsidR="00DE081B">
              <w:rPr>
                <w:rStyle w:val="citation-118"/>
                <w:b/>
                <w:bCs/>
              </w:rPr>
              <w:t>t</w:t>
            </w:r>
            <w:r w:rsidRPr="00DE081B">
              <w:rPr>
                <w:rStyle w:val="citation-118"/>
                <w:b/>
                <w:bCs/>
              </w:rPr>
              <w:t>esting:</w:t>
            </w:r>
            <w:r w:rsidRPr="00836EB9">
              <w:rPr>
                <w:rStyle w:val="citation-118"/>
              </w:rPr>
              <w:t xml:space="preserve"> </w:t>
            </w:r>
            <w:r w:rsidR="00954192" w:rsidRPr="00954192">
              <w:rPr>
                <w:rStyle w:val="citation-118"/>
              </w:rPr>
              <w:t>Conduct walkthroughs or simulations to test responses to model failures or security breaches.</w:t>
            </w:r>
          </w:p>
          <w:p w14:paraId="378D6B56" w14:textId="6F89622F" w:rsidR="00E1501E" w:rsidRPr="00836EB9" w:rsidRDefault="00E1501E" w:rsidP="00DB1E3C">
            <w:pPr>
              <w:pStyle w:val="Tablebullet"/>
              <w:ind w:left="170" w:hanging="142"/>
              <w:cnfStyle w:val="000000100000" w:firstRow="0" w:lastRow="0" w:firstColumn="0" w:lastColumn="0" w:oddVBand="0" w:evenVBand="0" w:oddHBand="1" w:evenHBand="0" w:firstRowFirstColumn="0" w:firstRowLastColumn="0" w:lastRowFirstColumn="0" w:lastRowLastColumn="0"/>
              <w:rPr>
                <w:rStyle w:val="citation-118"/>
                <w:rFonts w:ascii="Arial" w:hAnsi="Arial" w:cs="Arial"/>
                <w:color w:val="1F1F1F"/>
                <w:bdr w:val="none" w:sz="0" w:space="0" w:color="auto" w:frame="1"/>
              </w:rPr>
            </w:pPr>
            <w:r w:rsidRPr="00DE081B">
              <w:rPr>
                <w:rStyle w:val="citation-118"/>
                <w:b/>
                <w:bCs/>
              </w:rPr>
              <w:lastRenderedPageBreak/>
              <w:t xml:space="preserve">Root </w:t>
            </w:r>
            <w:r w:rsidR="00DE081B" w:rsidRPr="00DE081B">
              <w:rPr>
                <w:rStyle w:val="citation-118"/>
                <w:b/>
                <w:bCs/>
              </w:rPr>
              <w:t>c</w:t>
            </w:r>
            <w:r w:rsidRPr="00DE081B">
              <w:rPr>
                <w:rStyle w:val="citation-118"/>
                <w:b/>
                <w:bCs/>
              </w:rPr>
              <w:t xml:space="preserve">ause </w:t>
            </w:r>
            <w:r w:rsidR="00DE081B" w:rsidRPr="00DE081B">
              <w:rPr>
                <w:rStyle w:val="citation-118"/>
                <w:b/>
                <w:bCs/>
              </w:rPr>
              <w:t>a</w:t>
            </w:r>
            <w:r w:rsidRPr="00DE081B">
              <w:rPr>
                <w:rStyle w:val="citation-118"/>
                <w:b/>
                <w:bCs/>
              </w:rPr>
              <w:t>nalysis:</w:t>
            </w:r>
            <w:r w:rsidRPr="00836EB9">
              <w:rPr>
                <w:rStyle w:val="citation-118"/>
              </w:rPr>
              <w:t xml:space="preserve"> Verify that past incidents were logged, analysed, and that lessons learned were integrated into updated processes</w:t>
            </w:r>
            <w:r w:rsidRPr="00836EB9">
              <w:rPr>
                <w:rStyle w:val="citation-118"/>
                <w:rFonts w:ascii="Arial" w:hAnsi="Arial" w:cs="Arial"/>
                <w:color w:val="1F1F1F"/>
              </w:rPr>
              <w:t>.</w:t>
            </w:r>
          </w:p>
        </w:tc>
      </w:tr>
      <w:tr w:rsidR="00E1501E" w:rsidRPr="00E1501E" w14:paraId="7CFED1F6" w14:textId="77777777" w:rsidTr="00C850E7">
        <w:tc>
          <w:tcPr>
            <w:cnfStyle w:val="001000000000" w:firstRow="0" w:lastRow="0" w:firstColumn="1" w:lastColumn="0" w:oddVBand="0" w:evenVBand="0" w:oddHBand="0" w:evenHBand="0" w:firstRowFirstColumn="0" w:firstRowLastColumn="0" w:lastRowFirstColumn="0" w:lastRowLastColumn="0"/>
            <w:tcW w:w="1838" w:type="dxa"/>
          </w:tcPr>
          <w:p w14:paraId="1D100AE0" w14:textId="174CAA7F" w:rsidR="00E1501E" w:rsidRPr="00C850E7" w:rsidRDefault="00E1501E" w:rsidP="00E1501E">
            <w:pPr>
              <w:jc w:val="left"/>
              <w:rPr>
                <w:rFonts w:ascii="Arial" w:hAnsi="Arial" w:cs="Arial"/>
                <w:sz w:val="18"/>
                <w:szCs w:val="18"/>
              </w:rPr>
            </w:pPr>
            <w:r w:rsidRPr="00C850E7">
              <w:rPr>
                <w:rFonts w:ascii="Arial" w:hAnsi="Arial" w:cs="Arial"/>
                <w:color w:val="1F1F1F"/>
                <w:sz w:val="18"/>
                <w:szCs w:val="18"/>
                <w:bdr w:val="none" w:sz="0" w:space="0" w:color="auto" w:frame="1"/>
              </w:rPr>
              <w:lastRenderedPageBreak/>
              <w:t>Third-Party risk</w:t>
            </w:r>
          </w:p>
        </w:tc>
        <w:tc>
          <w:tcPr>
            <w:tcW w:w="7784" w:type="dxa"/>
          </w:tcPr>
          <w:p w14:paraId="5BC3753D" w14:textId="303E6CC2" w:rsidR="00E1501E" w:rsidRPr="00836EB9" w:rsidRDefault="00E1501E" w:rsidP="00DB1E3C">
            <w:pPr>
              <w:pStyle w:val="Tablebullet"/>
              <w:ind w:left="170" w:hanging="142"/>
              <w:cnfStyle w:val="000000000000" w:firstRow="0" w:lastRow="0" w:firstColumn="0" w:lastColumn="0" w:oddVBand="0" w:evenVBand="0" w:oddHBand="0" w:evenHBand="0" w:firstRowFirstColumn="0" w:firstRowLastColumn="0" w:lastRowFirstColumn="0" w:lastRowLastColumn="0"/>
              <w:rPr>
                <w:rStyle w:val="citation-118"/>
                <w:rFonts w:ascii="Arial" w:hAnsi="Arial" w:cs="Arial"/>
                <w:color w:val="1F1F1F"/>
                <w:bdr w:val="none" w:sz="0" w:space="0" w:color="auto" w:frame="1"/>
              </w:rPr>
            </w:pPr>
            <w:r w:rsidRPr="009D615E">
              <w:rPr>
                <w:rStyle w:val="citation-118"/>
                <w:b/>
                <w:bCs/>
              </w:rPr>
              <w:t xml:space="preserve">Vendor </w:t>
            </w:r>
            <w:r w:rsidR="00DE081B" w:rsidRPr="009D615E">
              <w:rPr>
                <w:rStyle w:val="citation-118"/>
                <w:b/>
                <w:bCs/>
              </w:rPr>
              <w:t>d</w:t>
            </w:r>
            <w:r w:rsidRPr="009D615E">
              <w:rPr>
                <w:rStyle w:val="citation-118"/>
                <w:b/>
                <w:bCs/>
              </w:rPr>
              <w:t xml:space="preserve">ue </w:t>
            </w:r>
            <w:r w:rsidR="009D615E" w:rsidRPr="009D615E">
              <w:rPr>
                <w:rStyle w:val="citation-118"/>
                <w:b/>
                <w:bCs/>
              </w:rPr>
              <w:t>d</w:t>
            </w:r>
            <w:r w:rsidRPr="009D615E">
              <w:rPr>
                <w:rStyle w:val="citation-118"/>
                <w:b/>
                <w:bCs/>
              </w:rPr>
              <w:t>iligence:</w:t>
            </w:r>
            <w:r w:rsidRPr="00836EB9">
              <w:rPr>
                <w:rStyle w:val="citation-118"/>
              </w:rPr>
              <w:t xml:space="preserve"> Review contracts for data protection stipulations and incident response </w:t>
            </w:r>
            <w:r w:rsidR="00B7524E">
              <w:rPr>
                <w:rStyle w:val="citation-118"/>
              </w:rPr>
              <w:t>expectations</w:t>
            </w:r>
            <w:r w:rsidRPr="00836EB9">
              <w:rPr>
                <w:rStyle w:val="citation-118"/>
              </w:rPr>
              <w:t>.</w:t>
            </w:r>
          </w:p>
          <w:p w14:paraId="0B7E07D3" w14:textId="4AAAD224" w:rsidR="00E1501E" w:rsidRPr="00836EB9" w:rsidRDefault="00E1501E" w:rsidP="00DB1E3C">
            <w:pPr>
              <w:pStyle w:val="Tablebullet"/>
              <w:ind w:left="170" w:hanging="142"/>
              <w:cnfStyle w:val="000000000000" w:firstRow="0" w:lastRow="0" w:firstColumn="0" w:lastColumn="0" w:oddVBand="0" w:evenVBand="0" w:oddHBand="0" w:evenHBand="0" w:firstRowFirstColumn="0" w:firstRowLastColumn="0" w:lastRowFirstColumn="0" w:lastRowLastColumn="0"/>
              <w:rPr>
                <w:rStyle w:val="citation-118"/>
                <w:rFonts w:ascii="Arial" w:hAnsi="Arial" w:cs="Arial"/>
                <w:color w:val="1F1F1F"/>
                <w:bdr w:val="none" w:sz="0" w:space="0" w:color="auto" w:frame="1"/>
              </w:rPr>
            </w:pPr>
            <w:r w:rsidRPr="009D615E">
              <w:rPr>
                <w:rStyle w:val="citation-118"/>
                <w:b/>
                <w:bCs/>
              </w:rPr>
              <w:t xml:space="preserve">Ongoing </w:t>
            </w:r>
            <w:r w:rsidR="009D615E" w:rsidRPr="009D615E">
              <w:rPr>
                <w:rStyle w:val="citation-118"/>
                <w:b/>
                <w:bCs/>
              </w:rPr>
              <w:t>m</w:t>
            </w:r>
            <w:r w:rsidRPr="009D615E">
              <w:rPr>
                <w:rStyle w:val="citation-118"/>
                <w:b/>
                <w:bCs/>
              </w:rPr>
              <w:t>onitoring:</w:t>
            </w:r>
            <w:r w:rsidRPr="00836EB9">
              <w:rPr>
                <w:rStyle w:val="citation-118"/>
              </w:rPr>
              <w:t xml:space="preserve"> Seek evidence of periodic vendor audits and compliance checks</w:t>
            </w:r>
            <w:r w:rsidRPr="00836EB9">
              <w:rPr>
                <w:rStyle w:val="citation-118"/>
                <w:rFonts w:ascii="Arial" w:hAnsi="Arial" w:cs="Arial"/>
                <w:color w:val="1F1F1F"/>
              </w:rPr>
              <w:t>.</w:t>
            </w:r>
          </w:p>
        </w:tc>
      </w:tr>
      <w:tr w:rsidR="00E1501E" w:rsidRPr="00E1501E" w14:paraId="46B486E7" w14:textId="77777777" w:rsidTr="00C85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6C9BFEE" w14:textId="679C30A2" w:rsidR="00E1501E" w:rsidRPr="00C850E7" w:rsidRDefault="00E1501E" w:rsidP="00E1501E">
            <w:pPr>
              <w:jc w:val="left"/>
              <w:rPr>
                <w:rFonts w:ascii="Arial" w:hAnsi="Arial" w:cs="Arial"/>
                <w:sz w:val="18"/>
                <w:szCs w:val="18"/>
              </w:rPr>
            </w:pPr>
            <w:r w:rsidRPr="00C850E7">
              <w:rPr>
                <w:rFonts w:ascii="Arial" w:hAnsi="Arial" w:cs="Arial"/>
                <w:color w:val="1F1F1F"/>
                <w:sz w:val="18"/>
                <w:szCs w:val="18"/>
                <w:bdr w:val="none" w:sz="0" w:space="0" w:color="auto" w:frame="1"/>
              </w:rPr>
              <w:t>Regulatory compliance</w:t>
            </w:r>
          </w:p>
        </w:tc>
        <w:tc>
          <w:tcPr>
            <w:tcW w:w="7784" w:type="dxa"/>
          </w:tcPr>
          <w:p w14:paraId="5809A428" w14:textId="77777777" w:rsidR="0041215F" w:rsidRPr="00DB1E3C" w:rsidRDefault="0041215F" w:rsidP="00DB1E3C">
            <w:pPr>
              <w:pStyle w:val="Tablebullet"/>
              <w:ind w:left="170" w:hanging="142"/>
              <w:cnfStyle w:val="000000100000" w:firstRow="0" w:lastRow="0" w:firstColumn="0" w:lastColumn="0" w:oddVBand="0" w:evenVBand="0" w:oddHBand="1" w:evenHBand="0" w:firstRowFirstColumn="0" w:firstRowLastColumn="0" w:lastRowFirstColumn="0" w:lastRowLastColumn="0"/>
              <w:rPr>
                <w:rStyle w:val="citation-118"/>
              </w:rPr>
            </w:pPr>
            <w:r w:rsidRPr="0041215F">
              <w:rPr>
                <w:rStyle w:val="citation-118"/>
                <w:b/>
                <w:bCs/>
              </w:rPr>
              <w:t xml:space="preserve">POPIA: </w:t>
            </w:r>
            <w:r w:rsidRPr="00DB1E3C">
              <w:rPr>
                <w:rStyle w:val="citation-118"/>
              </w:rPr>
              <w:t>Confirm that personal data is processed only for defined purposes and that safeguards such as data minimisation, anonymisation and access controls are in place.</w:t>
            </w:r>
          </w:p>
          <w:p w14:paraId="04EB706C" w14:textId="465AFD9F" w:rsidR="0041215F" w:rsidRPr="00DB1E3C" w:rsidRDefault="0041215F" w:rsidP="00DB1E3C">
            <w:pPr>
              <w:pStyle w:val="Tablebullet"/>
              <w:ind w:left="170" w:hanging="142"/>
              <w:cnfStyle w:val="000000100000" w:firstRow="0" w:lastRow="0" w:firstColumn="0" w:lastColumn="0" w:oddVBand="0" w:evenVBand="0" w:oddHBand="1" w:evenHBand="0" w:firstRowFirstColumn="0" w:firstRowLastColumn="0" w:lastRowFirstColumn="0" w:lastRowLastColumn="0"/>
              <w:rPr>
                <w:rStyle w:val="citation-118"/>
              </w:rPr>
            </w:pPr>
            <w:r w:rsidRPr="0041215F">
              <w:rPr>
                <w:rStyle w:val="citation-118"/>
                <w:b/>
                <w:bCs/>
              </w:rPr>
              <w:t xml:space="preserve">GDPR: </w:t>
            </w:r>
            <w:r w:rsidRPr="00DB1E3C">
              <w:rPr>
                <w:rStyle w:val="citation-118"/>
              </w:rPr>
              <w:t>Review compliance with DPIA requirements for high</w:t>
            </w:r>
            <w:r w:rsidRPr="00DB1E3C">
              <w:rPr>
                <w:rStyle w:val="citation-118"/>
                <w:rFonts w:ascii="Cambria Math" w:hAnsi="Cambria Math" w:cs="Cambria Math"/>
              </w:rPr>
              <w:t>‑</w:t>
            </w:r>
            <w:r w:rsidRPr="00DB1E3C">
              <w:rPr>
                <w:rStyle w:val="citation-118"/>
              </w:rPr>
              <w:t>risk AI activities and confirm adherence to cross</w:t>
            </w:r>
            <w:r w:rsidRPr="00DB1E3C">
              <w:rPr>
                <w:rStyle w:val="citation-118"/>
                <w:rFonts w:ascii="Cambria Math" w:hAnsi="Cambria Math" w:cs="Cambria Math"/>
              </w:rPr>
              <w:t>‑</w:t>
            </w:r>
            <w:r w:rsidRPr="00DB1E3C">
              <w:rPr>
                <w:rStyle w:val="citation-118"/>
              </w:rPr>
              <w:t>border data</w:t>
            </w:r>
            <w:r w:rsidRPr="00DB1E3C">
              <w:rPr>
                <w:rStyle w:val="citation-118"/>
                <w:rFonts w:ascii="Cambria Math" w:hAnsi="Cambria Math" w:cs="Cambria Math"/>
              </w:rPr>
              <w:t>‑</w:t>
            </w:r>
            <w:r w:rsidRPr="00DB1E3C">
              <w:rPr>
                <w:rStyle w:val="citation-118"/>
              </w:rPr>
              <w:t>transfer restrictions.</w:t>
            </w:r>
          </w:p>
          <w:p w14:paraId="57448333" w14:textId="17F32B86" w:rsidR="0041215F" w:rsidRPr="00DB1E3C" w:rsidRDefault="0041215F" w:rsidP="00DB1E3C">
            <w:pPr>
              <w:pStyle w:val="Tablebullet"/>
              <w:ind w:left="170" w:hanging="142"/>
              <w:cnfStyle w:val="000000100000" w:firstRow="0" w:lastRow="0" w:firstColumn="0" w:lastColumn="0" w:oddVBand="0" w:evenVBand="0" w:oddHBand="1" w:evenHBand="0" w:firstRowFirstColumn="0" w:firstRowLastColumn="0" w:lastRowFirstColumn="0" w:lastRowLastColumn="0"/>
              <w:rPr>
                <w:rStyle w:val="citation-118"/>
              </w:rPr>
            </w:pPr>
            <w:r w:rsidRPr="0041215F">
              <w:rPr>
                <w:rStyle w:val="citation-118"/>
                <w:b/>
                <w:bCs/>
              </w:rPr>
              <w:t xml:space="preserve">EU AI Act: </w:t>
            </w:r>
            <w:r w:rsidRPr="00DB1E3C">
              <w:rPr>
                <w:rStyle w:val="citation-118"/>
              </w:rPr>
              <w:t>Review the classification of AI systems into unacceptable, high, limited or minimal risk categories. For high</w:t>
            </w:r>
            <w:r w:rsidRPr="00DB1E3C">
              <w:rPr>
                <w:rStyle w:val="citation-118"/>
                <w:rFonts w:ascii="Cambria Math" w:hAnsi="Cambria Math" w:cs="Cambria Math"/>
              </w:rPr>
              <w:t>‑</w:t>
            </w:r>
            <w:r w:rsidRPr="00DB1E3C">
              <w:rPr>
                <w:rStyle w:val="citation-118"/>
              </w:rPr>
              <w:t>risk models, confirm that risk</w:t>
            </w:r>
            <w:r w:rsidRPr="00DB1E3C">
              <w:rPr>
                <w:rStyle w:val="citation-118"/>
                <w:rFonts w:ascii="Cambria Math" w:hAnsi="Cambria Math" w:cs="Cambria Math"/>
              </w:rPr>
              <w:t>‑</w:t>
            </w:r>
            <w:r w:rsidRPr="00DB1E3C">
              <w:rPr>
                <w:rStyle w:val="citation-118"/>
              </w:rPr>
              <w:t>management processes, auditable documentation, monitoring, human oversight, transparent disclosures and traceability mechanisms are in place.</w:t>
            </w:r>
          </w:p>
          <w:p w14:paraId="14D4E727" w14:textId="44800942" w:rsidR="00E1501E" w:rsidRPr="00836EB9" w:rsidRDefault="0041215F" w:rsidP="00DB1E3C">
            <w:pPr>
              <w:pStyle w:val="Tablebullet"/>
              <w:ind w:left="170" w:hanging="142"/>
              <w:cnfStyle w:val="000000100000" w:firstRow="0" w:lastRow="0" w:firstColumn="0" w:lastColumn="0" w:oddVBand="0" w:evenVBand="0" w:oddHBand="1" w:evenHBand="0" w:firstRowFirstColumn="0" w:firstRowLastColumn="0" w:lastRowFirstColumn="0" w:lastRowLastColumn="0"/>
              <w:rPr>
                <w:rStyle w:val="citation-118"/>
                <w:rFonts w:ascii="Arial" w:hAnsi="Arial" w:cs="Arial"/>
                <w:color w:val="1F1F1F"/>
                <w:sz w:val="22"/>
                <w:szCs w:val="22"/>
                <w:bdr w:val="none" w:sz="0" w:space="0" w:color="auto" w:frame="1"/>
              </w:rPr>
            </w:pPr>
            <w:r w:rsidRPr="0041215F">
              <w:rPr>
                <w:rStyle w:val="citation-118"/>
                <w:b/>
                <w:bCs/>
              </w:rPr>
              <w:t xml:space="preserve">Drift monitoring: </w:t>
            </w:r>
            <w:r w:rsidRPr="00DB1E3C">
              <w:rPr>
                <w:rStyle w:val="citation-118"/>
              </w:rPr>
              <w:t>Verify that mechanisms exist to detect data drift and that models are retrained when regulatory requirements or underlying data change.</w:t>
            </w:r>
          </w:p>
        </w:tc>
      </w:tr>
    </w:tbl>
    <w:p w14:paraId="37F80E83" w14:textId="77777777" w:rsidR="00E1501E" w:rsidRPr="00E1501E" w:rsidRDefault="00E1501E" w:rsidP="00E1501E"/>
    <w:p w14:paraId="798D95DE" w14:textId="60F2DD19" w:rsidR="002838A9" w:rsidRDefault="00FE56EB" w:rsidP="002838A9">
      <w:pPr>
        <w:pStyle w:val="Heading2"/>
        <w:ind w:left="284" w:hanging="426"/>
        <w:rPr>
          <w:b/>
          <w:bCs w:val="0"/>
        </w:rPr>
      </w:pPr>
      <w:bookmarkStart w:id="31" w:name="_Toc215235083"/>
      <w:bookmarkEnd w:id="30"/>
      <w:r>
        <w:rPr>
          <w:b/>
          <w:bCs w:val="0"/>
        </w:rPr>
        <w:t>Management application</w:t>
      </w:r>
    </w:p>
    <w:p w14:paraId="73549C16" w14:textId="04A4D915" w:rsidR="002376AC" w:rsidRDefault="00FE56EB" w:rsidP="002376AC">
      <w:r>
        <w:t xml:space="preserve">Table 6 below illustrates how the </w:t>
      </w:r>
      <w:r w:rsidR="0061792D">
        <w:t>insights</w:t>
      </w:r>
      <w:r w:rsidR="002376AC">
        <w:t xml:space="preserve"> </w:t>
      </w:r>
      <w:r w:rsidR="0061792D">
        <w:t>from</w:t>
      </w:r>
      <w:r w:rsidR="002376AC">
        <w:t xml:space="preserve"> the audit engagements can be used by management</w:t>
      </w:r>
      <w:r>
        <w:t>.</w:t>
      </w:r>
    </w:p>
    <w:p w14:paraId="0CF0B95C" w14:textId="5444195E" w:rsidR="00FE56EB" w:rsidRPr="009A0F7B" w:rsidRDefault="00FE56EB" w:rsidP="00FE56EB">
      <w:pPr>
        <w:pStyle w:val="Caption"/>
        <w:jc w:val="left"/>
        <w:rPr>
          <w:b w:val="0"/>
          <w:bCs/>
        </w:rPr>
      </w:pPr>
      <w:r>
        <w:t xml:space="preserve">Table </w:t>
      </w:r>
      <w:fldSimple w:instr=" SEQ Table \* ARABIC ">
        <w:r>
          <w:rPr>
            <w:noProof/>
          </w:rPr>
          <w:t>6</w:t>
        </w:r>
      </w:fldSimple>
      <w:r w:rsidRPr="009A0F7B">
        <w:rPr>
          <w:bCs/>
        </w:rPr>
        <w:t xml:space="preserve">: </w:t>
      </w:r>
      <w:r>
        <w:rPr>
          <w:bCs/>
        </w:rPr>
        <w:t>How management can use insights from AI Model audit engagements</w:t>
      </w:r>
    </w:p>
    <w:tbl>
      <w:tblPr>
        <w:tblStyle w:val="ListTable3-Accent2"/>
        <w:tblW w:w="0" w:type="auto"/>
        <w:tblLook w:val="04A0" w:firstRow="1" w:lastRow="0" w:firstColumn="1" w:lastColumn="0" w:noHBand="0" w:noVBand="1"/>
      </w:tblPr>
      <w:tblGrid>
        <w:gridCol w:w="1838"/>
        <w:gridCol w:w="7784"/>
      </w:tblGrid>
      <w:tr w:rsidR="00FE56EB" w:rsidRPr="00E1501E" w14:paraId="6207173A" w14:textId="77777777" w:rsidTr="00E5182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38" w:type="dxa"/>
          </w:tcPr>
          <w:p w14:paraId="5B5865BB" w14:textId="77777777" w:rsidR="00FE56EB" w:rsidRPr="00E1501E" w:rsidRDefault="00FE56EB" w:rsidP="00840428">
            <w:pPr>
              <w:jc w:val="left"/>
              <w:rPr>
                <w:rFonts w:ascii="Arial" w:hAnsi="Arial" w:cs="Arial"/>
                <w:b w:val="0"/>
                <w:bCs w:val="0"/>
                <w:sz w:val="18"/>
                <w:szCs w:val="18"/>
              </w:rPr>
            </w:pPr>
            <w:r w:rsidRPr="00E1501E">
              <w:rPr>
                <w:rStyle w:val="Strong"/>
                <w:rFonts w:ascii="Arial" w:hAnsi="Arial" w:cs="Arial"/>
                <w:b/>
                <w:bCs/>
                <w:sz w:val="18"/>
                <w:szCs w:val="18"/>
                <w:bdr w:val="none" w:sz="0" w:space="0" w:color="auto" w:frame="1"/>
              </w:rPr>
              <w:t>Audit Focus Area</w:t>
            </w:r>
          </w:p>
        </w:tc>
        <w:tc>
          <w:tcPr>
            <w:tcW w:w="7784" w:type="dxa"/>
          </w:tcPr>
          <w:p w14:paraId="69439DBC" w14:textId="77777777" w:rsidR="00FE56EB" w:rsidRPr="00E1501E" w:rsidRDefault="00FE56EB" w:rsidP="00840428">
            <w:pPr>
              <w:jc w:val="left"/>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sidRPr="00E1501E">
              <w:rPr>
                <w:rStyle w:val="Strong"/>
                <w:rFonts w:ascii="Arial" w:hAnsi="Arial" w:cs="Arial"/>
                <w:b/>
                <w:bCs/>
                <w:sz w:val="18"/>
                <w:szCs w:val="18"/>
                <w:bdr w:val="none" w:sz="0" w:space="0" w:color="auto" w:frame="1"/>
              </w:rPr>
              <w:t>Key Testing Procedures</w:t>
            </w:r>
          </w:p>
        </w:tc>
      </w:tr>
      <w:tr w:rsidR="00FE56EB" w:rsidRPr="00E1501E" w14:paraId="04F0E64E" w14:textId="77777777" w:rsidTr="00E51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512F56B" w14:textId="18832BC1" w:rsidR="00FE56EB" w:rsidRPr="00FE56EB" w:rsidRDefault="00FE56EB" w:rsidP="00E51820">
            <w:pPr>
              <w:pStyle w:val="Tablebullet"/>
              <w:numPr>
                <w:ilvl w:val="0"/>
                <w:numId w:val="0"/>
              </w:numPr>
              <w:ind w:left="96"/>
              <w:rPr>
                <w:rStyle w:val="citation-118"/>
              </w:rPr>
            </w:pPr>
            <w:r>
              <w:rPr>
                <w:rStyle w:val="citation-118"/>
              </w:rPr>
              <w:t>Re-establish</w:t>
            </w:r>
            <w:r w:rsidRPr="00FE56EB">
              <w:rPr>
                <w:rStyle w:val="citation-118"/>
              </w:rPr>
              <w:t xml:space="preserve"> strategy and core value alignment</w:t>
            </w:r>
          </w:p>
        </w:tc>
        <w:tc>
          <w:tcPr>
            <w:tcW w:w="7784" w:type="dxa"/>
          </w:tcPr>
          <w:p w14:paraId="3D075766" w14:textId="77777777" w:rsidR="00720DC2" w:rsidRPr="00DB1E3C" w:rsidRDefault="00720DC2" w:rsidP="00DB1E3C">
            <w:pPr>
              <w:pStyle w:val="Tablebullet"/>
              <w:ind w:left="170" w:hanging="170"/>
              <w:cnfStyle w:val="000000100000" w:firstRow="0" w:lastRow="0" w:firstColumn="0" w:lastColumn="0" w:oddVBand="0" w:evenVBand="0" w:oddHBand="1" w:evenHBand="0" w:firstRowFirstColumn="0" w:firstRowLastColumn="0" w:lastRowFirstColumn="0" w:lastRowLastColumn="0"/>
            </w:pPr>
            <w:r w:rsidRPr="00DB1E3C">
              <w:t xml:space="preserve">Audit results indicate whether AI operations support the organisation’s stated ethical, legal and strategic objectives. </w:t>
            </w:r>
          </w:p>
          <w:p w14:paraId="08E99B21" w14:textId="7EF004E9" w:rsidR="00FE56EB" w:rsidRPr="00836EB9" w:rsidRDefault="00720DC2" w:rsidP="00DB1E3C">
            <w:pPr>
              <w:pStyle w:val="Tablebullet"/>
              <w:ind w:left="170" w:hanging="170"/>
              <w:cnfStyle w:val="000000100000" w:firstRow="0" w:lastRow="0" w:firstColumn="0" w:lastColumn="0" w:oddVBand="0" w:evenVBand="0" w:oddHBand="1" w:evenHBand="0" w:firstRowFirstColumn="0" w:firstRowLastColumn="0" w:lastRowFirstColumn="0" w:lastRowLastColumn="0"/>
              <w:rPr>
                <w:rStyle w:val="citation-118"/>
              </w:rPr>
            </w:pPr>
            <w:r w:rsidRPr="00DB1E3C">
              <w:t>Management can use these findings to adjust or reaffirm alignment.</w:t>
            </w:r>
          </w:p>
        </w:tc>
      </w:tr>
      <w:tr w:rsidR="00E51820" w:rsidRPr="00E1501E" w14:paraId="3120D8A5" w14:textId="77777777" w:rsidTr="00E51820">
        <w:tc>
          <w:tcPr>
            <w:cnfStyle w:val="001000000000" w:firstRow="0" w:lastRow="0" w:firstColumn="1" w:lastColumn="0" w:oddVBand="0" w:evenVBand="0" w:oddHBand="0" w:evenHBand="0" w:firstRowFirstColumn="0" w:firstRowLastColumn="0" w:lastRowFirstColumn="0" w:lastRowLastColumn="0"/>
            <w:tcW w:w="1838" w:type="dxa"/>
          </w:tcPr>
          <w:p w14:paraId="5F322063" w14:textId="57A481C9" w:rsidR="00E51820" w:rsidRDefault="00E51820" w:rsidP="00E51820">
            <w:pPr>
              <w:pStyle w:val="Tablebullet"/>
              <w:numPr>
                <w:ilvl w:val="0"/>
                <w:numId w:val="0"/>
              </w:numPr>
              <w:ind w:left="96"/>
              <w:rPr>
                <w:rStyle w:val="citation-118"/>
              </w:rPr>
            </w:pPr>
            <w:r>
              <w:rPr>
                <w:rStyle w:val="citation-118"/>
              </w:rPr>
              <w:t>Support budget requests</w:t>
            </w:r>
          </w:p>
        </w:tc>
        <w:tc>
          <w:tcPr>
            <w:tcW w:w="7784" w:type="dxa"/>
          </w:tcPr>
          <w:p w14:paraId="2111561A" w14:textId="09A0F2FA" w:rsidR="00E51820" w:rsidRPr="00DB1E3C" w:rsidRDefault="00E51820" w:rsidP="00DB1E3C">
            <w:pPr>
              <w:pStyle w:val="Tablebullet"/>
              <w:ind w:left="170" w:hanging="170"/>
              <w:cnfStyle w:val="000000000000" w:firstRow="0" w:lastRow="0" w:firstColumn="0" w:lastColumn="0" w:oddVBand="0" w:evenVBand="0" w:oddHBand="0" w:evenHBand="0" w:firstRowFirstColumn="0" w:firstRowLastColumn="0" w:lastRowFirstColumn="0" w:lastRowLastColumn="0"/>
            </w:pPr>
            <w:r w:rsidRPr="00DB1E3C">
              <w:t>Where governance reviews include resourcing assessments, the results can support budget requests for specialised recruitment or upskilling.</w:t>
            </w:r>
          </w:p>
        </w:tc>
      </w:tr>
      <w:tr w:rsidR="00E51820" w:rsidRPr="00E1501E" w14:paraId="4767532E" w14:textId="77777777" w:rsidTr="00E51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6D48EC9" w14:textId="61EED91C" w:rsidR="00E51820" w:rsidRDefault="00E51820" w:rsidP="00E51820">
            <w:pPr>
              <w:pStyle w:val="Tablebullet"/>
              <w:numPr>
                <w:ilvl w:val="0"/>
                <w:numId w:val="0"/>
              </w:numPr>
              <w:ind w:left="96"/>
              <w:rPr>
                <w:rStyle w:val="citation-118"/>
              </w:rPr>
            </w:pPr>
            <w:r>
              <w:t>Affirm and align</w:t>
            </w:r>
            <w:r w:rsidRPr="00D60EE4">
              <w:t xml:space="preserve"> </w:t>
            </w:r>
            <w:r>
              <w:t>e</w:t>
            </w:r>
            <w:r w:rsidRPr="00D60EE4">
              <w:t xml:space="preserve">nvironmental </w:t>
            </w:r>
            <w:r>
              <w:t>i</w:t>
            </w:r>
            <w:r w:rsidRPr="00D60EE4">
              <w:t>mpact</w:t>
            </w:r>
          </w:p>
        </w:tc>
        <w:tc>
          <w:tcPr>
            <w:tcW w:w="7784" w:type="dxa"/>
          </w:tcPr>
          <w:p w14:paraId="49197463" w14:textId="77777777" w:rsidR="00AE02B5" w:rsidRDefault="00AE02B5" w:rsidP="00DB1E3C">
            <w:pPr>
              <w:pStyle w:val="Tablebullet"/>
              <w:ind w:left="170" w:hanging="170"/>
              <w:cnfStyle w:val="000000100000" w:firstRow="0" w:lastRow="0" w:firstColumn="0" w:lastColumn="0" w:oddVBand="0" w:evenVBand="0" w:oddHBand="1" w:evenHBand="0" w:firstRowFirstColumn="0" w:firstRowLastColumn="0" w:lastRowFirstColumn="0" w:lastRowLastColumn="0"/>
            </w:pPr>
            <w:r w:rsidRPr="00AE02B5">
              <w:t xml:space="preserve">ESG audits may include assessments of the energy use of AI models. </w:t>
            </w:r>
          </w:p>
          <w:p w14:paraId="1376960E" w14:textId="58F959FA" w:rsidR="00E51820" w:rsidRPr="00DB1E3C" w:rsidRDefault="00AE02B5" w:rsidP="00DB1E3C">
            <w:pPr>
              <w:pStyle w:val="Tablebullet"/>
              <w:ind w:left="170" w:hanging="170"/>
              <w:cnfStyle w:val="000000100000" w:firstRow="0" w:lastRow="0" w:firstColumn="0" w:lastColumn="0" w:oddVBand="0" w:evenVBand="0" w:oddHBand="1" w:evenHBand="0" w:firstRowFirstColumn="0" w:firstRowLastColumn="0" w:lastRowFirstColumn="0" w:lastRowLastColumn="0"/>
            </w:pPr>
            <w:r w:rsidRPr="00AE02B5">
              <w:t>This information helps management confirm that model</w:t>
            </w:r>
            <w:r w:rsidRPr="00AE02B5">
              <w:rPr>
                <w:rFonts w:ascii="Cambria Math" w:hAnsi="Cambria Math" w:cs="Cambria Math"/>
              </w:rPr>
              <w:t>‑</w:t>
            </w:r>
            <w:r w:rsidRPr="00AE02B5">
              <w:t>related energy consumption aligns with sustainability and carbon</w:t>
            </w:r>
            <w:r w:rsidRPr="00AE02B5">
              <w:rPr>
                <w:rFonts w:ascii="Cambria Math" w:hAnsi="Cambria Math" w:cs="Cambria Math"/>
              </w:rPr>
              <w:t>‑</w:t>
            </w:r>
            <w:r w:rsidRPr="00AE02B5">
              <w:t>footprint commitments.</w:t>
            </w:r>
          </w:p>
        </w:tc>
      </w:tr>
      <w:tr w:rsidR="00E51820" w:rsidRPr="00E1501E" w14:paraId="76F091A5" w14:textId="77777777" w:rsidTr="00E51820">
        <w:tc>
          <w:tcPr>
            <w:cnfStyle w:val="001000000000" w:firstRow="0" w:lastRow="0" w:firstColumn="1" w:lastColumn="0" w:oddVBand="0" w:evenVBand="0" w:oddHBand="0" w:evenHBand="0" w:firstRowFirstColumn="0" w:firstRowLastColumn="0" w:lastRowFirstColumn="0" w:lastRowLastColumn="0"/>
            <w:tcW w:w="1838" w:type="dxa"/>
          </w:tcPr>
          <w:p w14:paraId="2BC017A9" w14:textId="1D36EE38" w:rsidR="00E51820" w:rsidRDefault="00E51820" w:rsidP="00E51820">
            <w:pPr>
              <w:pStyle w:val="Tablebullet"/>
              <w:numPr>
                <w:ilvl w:val="0"/>
                <w:numId w:val="0"/>
              </w:numPr>
              <w:ind w:left="96"/>
            </w:pPr>
            <w:r>
              <w:t>Adjust Risk Appetite</w:t>
            </w:r>
          </w:p>
        </w:tc>
        <w:tc>
          <w:tcPr>
            <w:tcW w:w="7784" w:type="dxa"/>
          </w:tcPr>
          <w:p w14:paraId="04F8CF64" w14:textId="77777777" w:rsidR="00000568" w:rsidRDefault="00E51820" w:rsidP="00DB1E3C">
            <w:pPr>
              <w:pStyle w:val="Tablebullet"/>
              <w:ind w:left="170" w:hanging="170"/>
              <w:cnfStyle w:val="000000000000" w:firstRow="0" w:lastRow="0" w:firstColumn="0" w:lastColumn="0" w:oddVBand="0" w:evenVBand="0" w:oddHBand="0" w:evenHBand="0" w:firstRowFirstColumn="0" w:firstRowLastColumn="0" w:lastRowFirstColumn="0" w:lastRowLastColumn="0"/>
            </w:pPr>
            <w:r w:rsidRPr="00DB1E3C">
              <w:t xml:space="preserve">Reports provide transparency into observed performance against risk-tolerance thresholds. </w:t>
            </w:r>
          </w:p>
          <w:p w14:paraId="03588B9C" w14:textId="70FDA50F" w:rsidR="00E51820" w:rsidRPr="00DB1E3C" w:rsidRDefault="00000568" w:rsidP="00DB1E3C">
            <w:pPr>
              <w:pStyle w:val="Tablebullet"/>
              <w:ind w:left="170" w:hanging="170"/>
              <w:cnfStyle w:val="000000000000" w:firstRow="0" w:lastRow="0" w:firstColumn="0" w:lastColumn="0" w:oddVBand="0" w:evenVBand="0" w:oddHBand="0" w:evenHBand="0" w:firstRowFirstColumn="0" w:firstRowLastColumn="0" w:lastRowFirstColumn="0" w:lastRowLastColumn="0"/>
            </w:pPr>
            <w:r w:rsidRPr="00000568">
              <w:t>If risks approach tolerance limits, management can decide whether to accept the risk, reduce it or discontinue the activity.</w:t>
            </w:r>
          </w:p>
        </w:tc>
      </w:tr>
      <w:tr w:rsidR="00E51820" w:rsidRPr="00E1501E" w14:paraId="1D850F7B" w14:textId="77777777" w:rsidTr="00E51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0B00150" w14:textId="5998F5D4" w:rsidR="00E51820" w:rsidRDefault="00E51820" w:rsidP="00E51820">
            <w:pPr>
              <w:pStyle w:val="Tablebullet"/>
              <w:numPr>
                <w:ilvl w:val="0"/>
                <w:numId w:val="0"/>
              </w:numPr>
              <w:ind w:left="96"/>
            </w:pPr>
            <w:r>
              <w:t>Manage high-risk model fairness breaches</w:t>
            </w:r>
          </w:p>
        </w:tc>
        <w:tc>
          <w:tcPr>
            <w:tcW w:w="7784" w:type="dxa"/>
          </w:tcPr>
          <w:p w14:paraId="3B2F3806" w14:textId="4DB2171A" w:rsidR="00E51820" w:rsidRPr="00DB1E3C" w:rsidRDefault="002E4A2B" w:rsidP="00DB1E3C">
            <w:pPr>
              <w:pStyle w:val="Tablebullet"/>
              <w:ind w:left="170" w:hanging="170"/>
              <w:cnfStyle w:val="000000100000" w:firstRow="0" w:lastRow="0" w:firstColumn="0" w:lastColumn="0" w:oddVBand="0" w:evenVBand="0" w:oddHBand="1" w:evenHBand="0" w:firstRowFirstColumn="0" w:firstRowLastColumn="0" w:lastRowFirstColumn="0" w:lastRowLastColumn="0"/>
            </w:pPr>
            <w:r w:rsidRPr="002E4A2B">
              <w:t>When audits identify persistent fairness breaches (e.g., disparate impact across demographic groups), management can decide whether to reduce the risk through new controls, limit the model’s scope or transfer the risk through insurance</w:t>
            </w:r>
            <w:r w:rsidR="00E51820" w:rsidRPr="00DB1E3C">
              <w:t>.</w:t>
            </w:r>
          </w:p>
        </w:tc>
      </w:tr>
      <w:tr w:rsidR="00E51820" w:rsidRPr="00E1501E" w14:paraId="1EEB1A3B" w14:textId="77777777" w:rsidTr="00E51820">
        <w:tc>
          <w:tcPr>
            <w:cnfStyle w:val="001000000000" w:firstRow="0" w:lastRow="0" w:firstColumn="1" w:lastColumn="0" w:oddVBand="0" w:evenVBand="0" w:oddHBand="0" w:evenHBand="0" w:firstRowFirstColumn="0" w:firstRowLastColumn="0" w:lastRowFirstColumn="0" w:lastRowLastColumn="0"/>
            <w:tcW w:w="1838" w:type="dxa"/>
          </w:tcPr>
          <w:p w14:paraId="42A8D048" w14:textId="28297C16" w:rsidR="00E51820" w:rsidRDefault="00E51820" w:rsidP="00E51820">
            <w:pPr>
              <w:pStyle w:val="Tablebullet"/>
              <w:numPr>
                <w:ilvl w:val="0"/>
                <w:numId w:val="0"/>
              </w:numPr>
              <w:ind w:left="96"/>
            </w:pPr>
            <w:r>
              <w:t>Remediate design deficiencies and zombie models</w:t>
            </w:r>
          </w:p>
        </w:tc>
        <w:tc>
          <w:tcPr>
            <w:tcW w:w="7784" w:type="dxa"/>
          </w:tcPr>
          <w:p w14:paraId="2FE8F413" w14:textId="77777777" w:rsidR="005F1B2E" w:rsidRDefault="00FE6B45" w:rsidP="00FE6B45">
            <w:pPr>
              <w:pStyle w:val="Tablebullet"/>
              <w:ind w:left="170" w:hanging="170"/>
              <w:cnfStyle w:val="000000000000" w:firstRow="0" w:lastRow="0" w:firstColumn="0" w:lastColumn="0" w:oddVBand="0" w:evenVBand="0" w:oddHBand="0" w:evenHBand="0" w:firstRowFirstColumn="0" w:firstRowLastColumn="0" w:lastRowFirstColumn="0" w:lastRowLastColumn="0"/>
            </w:pPr>
            <w:r w:rsidRPr="00FE6B45">
              <w:t xml:space="preserve">Audit findings can highlight models that are no longer effective, poorly designed or no longer monitored. </w:t>
            </w:r>
          </w:p>
          <w:p w14:paraId="614B4035" w14:textId="442D1497" w:rsidR="00E51820" w:rsidRPr="00DB1E3C" w:rsidRDefault="00FE6B45" w:rsidP="00DB1E3C">
            <w:pPr>
              <w:pStyle w:val="Tablebullet"/>
              <w:ind w:left="170" w:hanging="170"/>
              <w:cnfStyle w:val="000000000000" w:firstRow="0" w:lastRow="0" w:firstColumn="0" w:lastColumn="0" w:oddVBand="0" w:evenVBand="0" w:oddHBand="0" w:evenHBand="0" w:firstRowFirstColumn="0" w:firstRowLastColumn="0" w:lastRowFirstColumn="0" w:lastRowLastColumn="0"/>
            </w:pPr>
            <w:r w:rsidRPr="00FE6B45">
              <w:t>Management can use this information to retire, redesign or replace these models.</w:t>
            </w:r>
          </w:p>
        </w:tc>
      </w:tr>
    </w:tbl>
    <w:p w14:paraId="3D96159A" w14:textId="77777777" w:rsidR="00FE56EB" w:rsidRDefault="00FE56EB" w:rsidP="002376AC"/>
    <w:p w14:paraId="495821BF" w14:textId="274526EE" w:rsidR="00B146F8" w:rsidRPr="000365FA" w:rsidRDefault="00543C53" w:rsidP="000365FA">
      <w:pPr>
        <w:pStyle w:val="Heading2"/>
        <w:ind w:left="284" w:hanging="426"/>
        <w:rPr>
          <w:b/>
          <w:bCs w:val="0"/>
        </w:rPr>
      </w:pPr>
      <w:bookmarkStart w:id="32" w:name="_Toc223951580"/>
      <w:r w:rsidRPr="000365FA">
        <w:rPr>
          <w:b/>
          <w:bCs w:val="0"/>
        </w:rPr>
        <w:lastRenderedPageBreak/>
        <w:t>Conclusion</w:t>
      </w:r>
      <w:bookmarkEnd w:id="31"/>
      <w:bookmarkEnd w:id="32"/>
    </w:p>
    <w:p w14:paraId="34B75A7D" w14:textId="20F38EEB" w:rsidR="00C93866" w:rsidRPr="00C93866" w:rsidRDefault="006C7019" w:rsidP="006C7019">
      <w:r w:rsidRPr="006C7019">
        <w:t xml:space="preserve">Internal auditors </w:t>
      </w:r>
      <w:r>
        <w:t xml:space="preserve">are equipped to </w:t>
      </w:r>
      <w:r w:rsidRPr="006C7019">
        <w:t>give management and boards the assurance they need</w:t>
      </w:r>
      <w:r>
        <w:t xml:space="preserve"> if they</w:t>
      </w:r>
      <w:r w:rsidRPr="006C7019">
        <w:t xml:space="preserve"> understand the AI model lifecycle, ask the right questions, and test controls </w:t>
      </w:r>
      <w:r>
        <w:t>timeously</w:t>
      </w:r>
      <w:r w:rsidRPr="006C7019">
        <w:t xml:space="preserve">. The framework </w:t>
      </w:r>
      <w:r>
        <w:t>endeavours to provide the foundation for building the required skills and competencies</w:t>
      </w:r>
      <w:r w:rsidRPr="006C7019">
        <w:t>.</w:t>
      </w:r>
    </w:p>
    <w:sectPr w:rsidR="00C93866" w:rsidRPr="00C93866" w:rsidSect="00244A45">
      <w:headerReference w:type="default" r:id="rId17"/>
      <w:footerReference w:type="default" r:id="rId18"/>
      <w:headerReference w:type="first" r:id="rId19"/>
      <w:pgSz w:w="11900" w:h="16820"/>
      <w:pgMar w:top="1134" w:right="1134" w:bottom="1134"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541BD" w14:textId="77777777" w:rsidR="00484951" w:rsidRPr="00CE2675" w:rsidRDefault="00484951" w:rsidP="00381299">
      <w:r w:rsidRPr="00CE2675">
        <w:separator/>
      </w:r>
    </w:p>
  </w:endnote>
  <w:endnote w:type="continuationSeparator" w:id="0">
    <w:p w14:paraId="0A92943C" w14:textId="77777777" w:rsidR="00484951" w:rsidRPr="00CE2675" w:rsidRDefault="00484951" w:rsidP="00381299">
      <w:r w:rsidRPr="00CE26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Gotham Light">
    <w:altName w:val="Calibri"/>
    <w:charset w:val="00"/>
    <w:family w:val="modern"/>
    <w:pitch w:val="variable"/>
    <w:sig w:usb0="A00000FF" w:usb1="4000004A" w:usb2="00000000" w:usb3="00000000" w:csb0="0000000B"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56988"/>
      <w:docPartObj>
        <w:docPartGallery w:val="Page Numbers (Bottom of Page)"/>
        <w:docPartUnique/>
      </w:docPartObj>
    </w:sdtPr>
    <w:sdtEndPr/>
    <w:sdtContent>
      <w:p w14:paraId="17E7019A" w14:textId="77777777" w:rsidR="006634ED" w:rsidRDefault="00FE1A0C" w:rsidP="00381299">
        <w:pPr>
          <w:pStyle w:val="Footer"/>
        </w:pPr>
        <w:r w:rsidRPr="006634ED">
          <w:rPr>
            <w:noProof/>
          </w:rPr>
          <w:drawing>
            <wp:anchor distT="0" distB="0" distL="114300" distR="114300" simplePos="0" relativeHeight="251680768" behindDoc="1" locked="0" layoutInCell="1" allowOverlap="0" wp14:anchorId="68FC464F" wp14:editId="18C2EE9C">
              <wp:simplePos x="0" y="0"/>
              <wp:positionH relativeFrom="page">
                <wp:align>center</wp:align>
              </wp:positionH>
              <wp:positionV relativeFrom="page">
                <wp:align>bottom</wp:align>
              </wp:positionV>
              <wp:extent cx="7570800" cy="738000"/>
              <wp:effectExtent l="0" t="0" r="0" b="0"/>
              <wp:wrapNone/>
              <wp:docPr id="11787186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18660" name="Picture 1178718660"/>
                      <pic:cNvPicPr/>
                    </pic:nvPicPr>
                    <pic:blipFill>
                      <a:blip r:embed="rId1">
                        <a:extLst>
                          <a:ext uri="{28A0092B-C50C-407E-A947-70E740481C1C}">
                            <a14:useLocalDpi xmlns:a14="http://schemas.microsoft.com/office/drawing/2010/main" val="0"/>
                          </a:ext>
                        </a:extLst>
                      </a:blip>
                      <a:stretch>
                        <a:fillRect/>
                      </a:stretch>
                    </pic:blipFill>
                    <pic:spPr>
                      <a:xfrm>
                        <a:off x="0" y="0"/>
                        <a:ext cx="7570800" cy="738000"/>
                      </a:xfrm>
                      <a:prstGeom prst="rect">
                        <a:avLst/>
                      </a:prstGeom>
                    </pic:spPr>
                  </pic:pic>
                </a:graphicData>
              </a:graphic>
              <wp14:sizeRelH relativeFrom="margin">
                <wp14:pctWidth>0</wp14:pctWidth>
              </wp14:sizeRelH>
              <wp14:sizeRelV relativeFrom="margin">
                <wp14:pctHeight>0</wp14:pctHeight>
              </wp14:sizeRelV>
            </wp:anchor>
          </w:drawing>
        </w:r>
      </w:p>
      <w:p w14:paraId="000B57A5" w14:textId="4B51B058" w:rsidR="000A76CB" w:rsidRPr="006634ED" w:rsidRDefault="00484951" w:rsidP="00381299">
        <w:pPr>
          <w:pStyle w:val="Footer"/>
        </w:pPr>
      </w:p>
    </w:sdtContent>
  </w:sdt>
  <w:p w14:paraId="36C961F8" w14:textId="53238DF6" w:rsidR="000A76CB" w:rsidRPr="00CE2675" w:rsidRDefault="000A76CB" w:rsidP="00381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8CA16" w14:textId="77777777" w:rsidR="00484951" w:rsidRPr="00CE2675" w:rsidRDefault="00484951" w:rsidP="00381299">
      <w:r w:rsidRPr="00CE2675">
        <w:separator/>
      </w:r>
    </w:p>
  </w:footnote>
  <w:footnote w:type="continuationSeparator" w:id="0">
    <w:p w14:paraId="11CB428D" w14:textId="77777777" w:rsidR="00484951" w:rsidRPr="00CE2675" w:rsidRDefault="00484951" w:rsidP="00381299">
      <w:r w:rsidRPr="00CE2675">
        <w:continuationSeparator/>
      </w:r>
    </w:p>
  </w:footnote>
  <w:footnote w:id="1">
    <w:p w14:paraId="47D48A31" w14:textId="2FE7DFF8" w:rsidR="00B16DE9" w:rsidRPr="00E51820" w:rsidRDefault="00B16DE9">
      <w:pPr>
        <w:pStyle w:val="FootnoteText"/>
        <w:rPr>
          <w:sz w:val="16"/>
          <w:szCs w:val="16"/>
        </w:rPr>
      </w:pPr>
      <w:r w:rsidRPr="00E51820">
        <w:rPr>
          <w:rStyle w:val="FootnoteReference"/>
          <w:sz w:val="16"/>
          <w:szCs w:val="16"/>
        </w:rPr>
        <w:footnoteRef/>
      </w:r>
      <w:r w:rsidRPr="00E51820">
        <w:rPr>
          <w:sz w:val="16"/>
          <w:szCs w:val="16"/>
        </w:rPr>
        <w:t xml:space="preserve"> The following sources were used extensively to prepare this paper: EU AI Act, GDPR, POPIA, Global Internal Audit Standards, </w:t>
      </w:r>
      <w:r w:rsidR="0055374C" w:rsidRPr="00E51820">
        <w:rPr>
          <w:sz w:val="16"/>
          <w:szCs w:val="16"/>
        </w:rPr>
        <w:t>National Institute of Standards and Technology (NIST), the Institute of Internal Auditors’ (IIA) Artificial Intelligence Auditing Framework, International Organisation for Standardization 42001 (ISO 42001)</w:t>
      </w:r>
    </w:p>
  </w:footnote>
  <w:footnote w:id="2">
    <w:p w14:paraId="782D93E9" w14:textId="2B39950B" w:rsidR="007106D1" w:rsidRPr="00E51820" w:rsidRDefault="007106D1">
      <w:pPr>
        <w:pStyle w:val="FootnoteText"/>
        <w:rPr>
          <w:sz w:val="16"/>
          <w:szCs w:val="16"/>
        </w:rPr>
      </w:pPr>
      <w:r w:rsidRPr="00E51820">
        <w:rPr>
          <w:rStyle w:val="FootnoteReference"/>
          <w:sz w:val="16"/>
          <w:szCs w:val="16"/>
        </w:rPr>
        <w:footnoteRef/>
      </w:r>
      <w:r w:rsidRPr="00E51820">
        <w:rPr>
          <w:sz w:val="16"/>
          <w:szCs w:val="16"/>
        </w:rPr>
        <w:t xml:space="preserve"> </w:t>
      </w:r>
      <w:r w:rsidR="00691E8B" w:rsidRPr="00E51820">
        <w:rPr>
          <w:sz w:val="16"/>
          <w:szCs w:val="16"/>
        </w:rPr>
        <w:t xml:space="preserve">What is the life cycle of a data science project? – </w:t>
      </w:r>
      <w:proofErr w:type="spellStart"/>
      <w:r w:rsidR="00691E8B" w:rsidRPr="00E51820">
        <w:rPr>
          <w:sz w:val="16"/>
          <w:szCs w:val="16"/>
        </w:rPr>
        <w:t>Celigent</w:t>
      </w:r>
      <w:proofErr w:type="spellEnd"/>
      <w:r w:rsidR="00691E8B" w:rsidRPr="00E51820">
        <w:rPr>
          <w:sz w:val="16"/>
          <w:szCs w:val="16"/>
        </w:rPr>
        <w:t>. https://celigent.com/what-is-the-life-cycle-of-a-data-science-project/</w:t>
      </w:r>
    </w:p>
  </w:footnote>
  <w:footnote w:id="3">
    <w:p w14:paraId="35BCABC5" w14:textId="50CDCB10" w:rsidR="00A025A0" w:rsidRPr="00E51820" w:rsidRDefault="00A025A0" w:rsidP="00E51820">
      <w:pPr>
        <w:pStyle w:val="FootnoteText"/>
        <w:jc w:val="left"/>
        <w:rPr>
          <w:sz w:val="16"/>
          <w:szCs w:val="16"/>
        </w:rPr>
      </w:pPr>
      <w:r w:rsidRPr="00E51820">
        <w:rPr>
          <w:rStyle w:val="FootnoteReference"/>
          <w:sz w:val="16"/>
          <w:szCs w:val="16"/>
        </w:rPr>
        <w:footnoteRef/>
      </w:r>
      <w:r w:rsidRPr="00E51820">
        <w:rPr>
          <w:sz w:val="16"/>
          <w:szCs w:val="16"/>
        </w:rPr>
        <w:t xml:space="preserve"> </w:t>
      </w:r>
      <w:r w:rsidR="00D950A3" w:rsidRPr="00E51820">
        <w:rPr>
          <w:sz w:val="16"/>
          <w:szCs w:val="16"/>
        </w:rPr>
        <w:t>The Role of Data Governance in AI Compliance: Lessons from the EU AI Act. https://thetechnotricks.net/2025/03/16/the-role-of-data-governance-in-ai-compliance-lessons-from-the-eu-ai-act/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lang w:val="en-GB"/>
      </w:rPr>
      <w:id w:val="1171219930"/>
      <w:docPartObj>
        <w:docPartGallery w:val="Page Numbers (Top of Page)"/>
        <w:docPartUnique/>
      </w:docPartObj>
    </w:sdtPr>
    <w:sdtEndPr>
      <w:rPr>
        <w:b/>
        <w:bCs/>
        <w:color w:val="5E6167" w:themeColor="text1"/>
        <w:spacing w:val="0"/>
        <w:lang w:val="en-ZA"/>
      </w:rPr>
    </w:sdtEndPr>
    <w:sdtContent>
      <w:p w14:paraId="106A167B" w14:textId="3C159452" w:rsidR="00244A45" w:rsidRDefault="00244A45" w:rsidP="00381299">
        <w:pPr>
          <w:pStyle w:val="Header"/>
          <w:rPr>
            <w:b/>
            <w:bCs/>
          </w:rPr>
        </w:pPr>
        <w:r>
          <w:rPr>
            <w:color w:val="7F7F7F" w:themeColor="background1" w:themeShade="7F"/>
            <w:spacing w:val="60"/>
            <w:lang w:val="en-GB"/>
          </w:rPr>
          <w:t>Page</w:t>
        </w:r>
        <w:r>
          <w:rPr>
            <w:lang w:val="en-GB"/>
          </w:rPr>
          <w:t xml:space="preserve"> | </w:t>
        </w:r>
        <w:r>
          <w:fldChar w:fldCharType="begin"/>
        </w:r>
        <w:r>
          <w:instrText>PAGE   \* MERGEFORMAT</w:instrText>
        </w:r>
        <w:r>
          <w:fldChar w:fldCharType="separate"/>
        </w:r>
        <w:r>
          <w:rPr>
            <w:b/>
            <w:bCs/>
            <w:lang w:val="en-GB"/>
          </w:rPr>
          <w:t>2</w:t>
        </w:r>
        <w:r>
          <w:rPr>
            <w:b/>
            <w:bCs/>
          </w:rPr>
          <w:fldChar w:fldCharType="end"/>
        </w:r>
      </w:p>
    </w:sdtContent>
  </w:sdt>
  <w:p w14:paraId="7E53D207" w14:textId="28FECCAA" w:rsidR="000A76CB" w:rsidRPr="00CE2675" w:rsidRDefault="000A76CB" w:rsidP="00381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B3B9" w14:textId="470F42C4" w:rsidR="000A76CB" w:rsidRPr="00CE2675" w:rsidRDefault="000A76CB" w:rsidP="00381299">
    <w:pPr>
      <w:pStyle w:val="Header"/>
    </w:pPr>
    <w:r w:rsidRPr="00CE2675">
      <w:rPr>
        <w:noProof/>
      </w:rPr>
      <w:drawing>
        <wp:anchor distT="0" distB="0" distL="114300" distR="114300" simplePos="0" relativeHeight="251659264" behindDoc="1" locked="0" layoutInCell="1" allowOverlap="1" wp14:anchorId="2F812DF3" wp14:editId="1D9A9610">
          <wp:simplePos x="0" y="0"/>
          <wp:positionH relativeFrom="page">
            <wp:posOffset>0</wp:posOffset>
          </wp:positionH>
          <wp:positionV relativeFrom="page">
            <wp:posOffset>0</wp:posOffset>
          </wp:positionV>
          <wp:extent cx="356400" cy="10677600"/>
          <wp:effectExtent l="0" t="0" r="571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extLst>
                      <a:ext uri="{28A0092B-C50C-407E-A947-70E740481C1C}">
                        <a14:useLocalDpi xmlns:a14="http://schemas.microsoft.com/office/drawing/2010/main" val="0"/>
                      </a:ext>
                    </a:extLst>
                  </a:blip>
                  <a:stretch>
                    <a:fillRect/>
                  </a:stretch>
                </pic:blipFill>
                <pic:spPr>
                  <a:xfrm>
                    <a:off x="0" y="0"/>
                    <a:ext cx="356400" cy="1067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33C07"/>
    <w:multiLevelType w:val="hybridMultilevel"/>
    <w:tmpl w:val="474206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E7042E6"/>
    <w:multiLevelType w:val="hybridMultilevel"/>
    <w:tmpl w:val="9F120C72"/>
    <w:lvl w:ilvl="0" w:tplc="D1F2BB6C">
      <w:start w:val="1"/>
      <w:numFmt w:val="bullet"/>
      <w:pStyle w:val="05BULLETCOPY"/>
      <w:lvlText w:val=""/>
      <w:lvlJc w:val="left"/>
      <w:pPr>
        <w:ind w:left="740" w:hanging="360"/>
      </w:pPr>
      <w:rPr>
        <w:rFonts w:ascii="Symbol" w:hAnsi="Symbol" w:hint="default"/>
      </w:rPr>
    </w:lvl>
    <w:lvl w:ilvl="1" w:tplc="1C090003" w:tentative="1">
      <w:start w:val="1"/>
      <w:numFmt w:val="bullet"/>
      <w:lvlText w:val="o"/>
      <w:lvlJc w:val="left"/>
      <w:pPr>
        <w:ind w:left="1460" w:hanging="360"/>
      </w:pPr>
      <w:rPr>
        <w:rFonts w:ascii="Courier New" w:hAnsi="Courier New" w:cs="Courier New" w:hint="default"/>
      </w:rPr>
    </w:lvl>
    <w:lvl w:ilvl="2" w:tplc="1C090005" w:tentative="1">
      <w:start w:val="1"/>
      <w:numFmt w:val="bullet"/>
      <w:lvlText w:val=""/>
      <w:lvlJc w:val="left"/>
      <w:pPr>
        <w:ind w:left="2180" w:hanging="360"/>
      </w:pPr>
      <w:rPr>
        <w:rFonts w:ascii="Wingdings" w:hAnsi="Wingdings" w:hint="default"/>
      </w:rPr>
    </w:lvl>
    <w:lvl w:ilvl="3" w:tplc="1C090001" w:tentative="1">
      <w:start w:val="1"/>
      <w:numFmt w:val="bullet"/>
      <w:lvlText w:val=""/>
      <w:lvlJc w:val="left"/>
      <w:pPr>
        <w:ind w:left="2900" w:hanging="360"/>
      </w:pPr>
      <w:rPr>
        <w:rFonts w:ascii="Symbol" w:hAnsi="Symbol" w:hint="default"/>
      </w:rPr>
    </w:lvl>
    <w:lvl w:ilvl="4" w:tplc="1C090003" w:tentative="1">
      <w:start w:val="1"/>
      <w:numFmt w:val="bullet"/>
      <w:lvlText w:val="o"/>
      <w:lvlJc w:val="left"/>
      <w:pPr>
        <w:ind w:left="3620" w:hanging="360"/>
      </w:pPr>
      <w:rPr>
        <w:rFonts w:ascii="Courier New" w:hAnsi="Courier New" w:cs="Courier New" w:hint="default"/>
      </w:rPr>
    </w:lvl>
    <w:lvl w:ilvl="5" w:tplc="1C090005" w:tentative="1">
      <w:start w:val="1"/>
      <w:numFmt w:val="bullet"/>
      <w:lvlText w:val=""/>
      <w:lvlJc w:val="left"/>
      <w:pPr>
        <w:ind w:left="4340" w:hanging="360"/>
      </w:pPr>
      <w:rPr>
        <w:rFonts w:ascii="Wingdings" w:hAnsi="Wingdings" w:hint="default"/>
      </w:rPr>
    </w:lvl>
    <w:lvl w:ilvl="6" w:tplc="1C090001" w:tentative="1">
      <w:start w:val="1"/>
      <w:numFmt w:val="bullet"/>
      <w:lvlText w:val=""/>
      <w:lvlJc w:val="left"/>
      <w:pPr>
        <w:ind w:left="5060" w:hanging="360"/>
      </w:pPr>
      <w:rPr>
        <w:rFonts w:ascii="Symbol" w:hAnsi="Symbol" w:hint="default"/>
      </w:rPr>
    </w:lvl>
    <w:lvl w:ilvl="7" w:tplc="1C090003" w:tentative="1">
      <w:start w:val="1"/>
      <w:numFmt w:val="bullet"/>
      <w:lvlText w:val="o"/>
      <w:lvlJc w:val="left"/>
      <w:pPr>
        <w:ind w:left="5780" w:hanging="360"/>
      </w:pPr>
      <w:rPr>
        <w:rFonts w:ascii="Courier New" w:hAnsi="Courier New" w:cs="Courier New" w:hint="default"/>
      </w:rPr>
    </w:lvl>
    <w:lvl w:ilvl="8" w:tplc="1C090005" w:tentative="1">
      <w:start w:val="1"/>
      <w:numFmt w:val="bullet"/>
      <w:lvlText w:val=""/>
      <w:lvlJc w:val="left"/>
      <w:pPr>
        <w:ind w:left="6500" w:hanging="360"/>
      </w:pPr>
      <w:rPr>
        <w:rFonts w:ascii="Wingdings" w:hAnsi="Wingdings" w:hint="default"/>
      </w:rPr>
    </w:lvl>
  </w:abstractNum>
  <w:abstractNum w:abstractNumId="2" w15:restartNumberingAfterBreak="0">
    <w:nsid w:val="3D7A210B"/>
    <w:multiLevelType w:val="hybridMultilevel"/>
    <w:tmpl w:val="C30413E2"/>
    <w:lvl w:ilvl="0" w:tplc="4D225FB8">
      <w:start w:val="1"/>
      <w:numFmt w:val="bullet"/>
      <w:lvlText w:val="•"/>
      <w:lvlJc w:val="left"/>
      <w:pPr>
        <w:ind w:left="360" w:hanging="260"/>
      </w:pPr>
    </w:lvl>
    <w:lvl w:ilvl="1" w:tplc="89A04E20">
      <w:numFmt w:val="decimal"/>
      <w:lvlText w:val=""/>
      <w:lvlJc w:val="left"/>
    </w:lvl>
    <w:lvl w:ilvl="2" w:tplc="9B3CB258">
      <w:numFmt w:val="decimal"/>
      <w:lvlText w:val=""/>
      <w:lvlJc w:val="left"/>
    </w:lvl>
    <w:lvl w:ilvl="3" w:tplc="5A7A978E">
      <w:numFmt w:val="decimal"/>
      <w:lvlText w:val=""/>
      <w:lvlJc w:val="left"/>
    </w:lvl>
    <w:lvl w:ilvl="4" w:tplc="C51C6754">
      <w:numFmt w:val="decimal"/>
      <w:lvlText w:val=""/>
      <w:lvlJc w:val="left"/>
    </w:lvl>
    <w:lvl w:ilvl="5" w:tplc="862EF8B6">
      <w:numFmt w:val="decimal"/>
      <w:lvlText w:val=""/>
      <w:lvlJc w:val="left"/>
    </w:lvl>
    <w:lvl w:ilvl="6" w:tplc="2800FE3C">
      <w:numFmt w:val="decimal"/>
      <w:lvlText w:val=""/>
      <w:lvlJc w:val="left"/>
    </w:lvl>
    <w:lvl w:ilvl="7" w:tplc="12CA3D54">
      <w:numFmt w:val="decimal"/>
      <w:lvlText w:val=""/>
      <w:lvlJc w:val="left"/>
    </w:lvl>
    <w:lvl w:ilvl="8" w:tplc="1C3A2C78">
      <w:numFmt w:val="decimal"/>
      <w:lvlText w:val=""/>
      <w:lvlJc w:val="left"/>
    </w:lvl>
  </w:abstractNum>
  <w:abstractNum w:abstractNumId="3" w15:restartNumberingAfterBreak="0">
    <w:nsid w:val="3E266934"/>
    <w:multiLevelType w:val="multilevel"/>
    <w:tmpl w:val="AFD035FA"/>
    <w:lvl w:ilvl="0">
      <w:start w:val="1"/>
      <w:numFmt w:val="decimal"/>
      <w:pStyle w:val="Heading1"/>
      <w:lvlText w:val="%1"/>
      <w:lvlJc w:val="left"/>
      <w:pPr>
        <w:ind w:left="432" w:hanging="432"/>
      </w:pPr>
    </w:lvl>
    <w:lvl w:ilvl="1">
      <w:start w:val="1"/>
      <w:numFmt w:val="decimal"/>
      <w:pStyle w:val="Heading2"/>
      <w:lvlText w:val="%1.%2"/>
      <w:lvlJc w:val="left"/>
      <w:pPr>
        <w:ind w:left="539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486D3BB1"/>
    <w:multiLevelType w:val="hybridMultilevel"/>
    <w:tmpl w:val="627E06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E695D4D"/>
    <w:multiLevelType w:val="hybridMultilevel"/>
    <w:tmpl w:val="B074FAF8"/>
    <w:lvl w:ilvl="0" w:tplc="A1C22C52">
      <w:start w:val="1"/>
      <w:numFmt w:val="bullet"/>
      <w:pStyle w:val="ListParagraph"/>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6B4533A"/>
    <w:multiLevelType w:val="hybridMultilevel"/>
    <w:tmpl w:val="5BB49F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6C2E6CD3"/>
    <w:multiLevelType w:val="hybridMultilevel"/>
    <w:tmpl w:val="BABC5244"/>
    <w:lvl w:ilvl="0" w:tplc="6E1EE670">
      <w:numFmt w:val="bullet"/>
      <w:pStyle w:val="IntenseQuote"/>
      <w:lvlText w:val="-"/>
      <w:lvlJc w:val="left"/>
      <w:pPr>
        <w:ind w:left="720" w:hanging="360"/>
      </w:pPr>
      <w:rPr>
        <w:rFonts w:ascii="Helvetica Neue" w:eastAsiaTheme="minorHAnsi" w:hAnsi="Helvetica Neu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6158449">
    <w:abstractNumId w:val="7"/>
  </w:num>
  <w:num w:numId="2" w16cid:durableId="468935531">
    <w:abstractNumId w:val="1"/>
  </w:num>
  <w:num w:numId="3" w16cid:durableId="599021621">
    <w:abstractNumId w:val="3"/>
  </w:num>
  <w:num w:numId="4" w16cid:durableId="990672345">
    <w:abstractNumId w:val="5"/>
  </w:num>
  <w:num w:numId="5" w16cid:durableId="2099984510">
    <w:abstractNumId w:val="5"/>
    <w:lvlOverride w:ilvl="0">
      <w:startOverride w:val="1"/>
    </w:lvlOverride>
  </w:num>
  <w:num w:numId="6" w16cid:durableId="1382945747">
    <w:abstractNumId w:val="5"/>
  </w:num>
  <w:num w:numId="7" w16cid:durableId="1960336887">
    <w:abstractNumId w:val="5"/>
  </w:num>
  <w:num w:numId="8" w16cid:durableId="1875653451">
    <w:abstractNumId w:val="5"/>
  </w:num>
  <w:num w:numId="9" w16cid:durableId="863981057">
    <w:abstractNumId w:val="5"/>
  </w:num>
  <w:num w:numId="10" w16cid:durableId="502664801">
    <w:abstractNumId w:val="5"/>
  </w:num>
  <w:num w:numId="11" w16cid:durableId="1398286071">
    <w:abstractNumId w:val="0"/>
  </w:num>
  <w:num w:numId="12" w16cid:durableId="879442985">
    <w:abstractNumId w:val="5"/>
  </w:num>
  <w:num w:numId="13" w16cid:durableId="116802000">
    <w:abstractNumId w:val="5"/>
  </w:num>
  <w:num w:numId="14" w16cid:durableId="1386756724">
    <w:abstractNumId w:val="5"/>
  </w:num>
  <w:num w:numId="15" w16cid:durableId="100302161">
    <w:abstractNumId w:val="5"/>
  </w:num>
  <w:num w:numId="16" w16cid:durableId="431170616">
    <w:abstractNumId w:val="5"/>
  </w:num>
  <w:num w:numId="17" w16cid:durableId="2129279425">
    <w:abstractNumId w:val="5"/>
  </w:num>
  <w:num w:numId="18" w16cid:durableId="721174069">
    <w:abstractNumId w:val="2"/>
    <w:lvlOverride w:ilvl="0">
      <w:startOverride w:val="1"/>
    </w:lvlOverride>
  </w:num>
  <w:num w:numId="19" w16cid:durableId="1131442579">
    <w:abstractNumId w:val="5"/>
  </w:num>
  <w:num w:numId="20" w16cid:durableId="686447517">
    <w:abstractNumId w:val="6"/>
  </w:num>
  <w:num w:numId="21" w16cid:durableId="826826807">
    <w:abstractNumId w:val="5"/>
  </w:num>
  <w:num w:numId="22" w16cid:durableId="771051886">
    <w:abstractNumId w:val="5"/>
  </w:num>
  <w:num w:numId="23" w16cid:durableId="1226646611">
    <w:abstractNumId w:val="4"/>
  </w:num>
  <w:num w:numId="24" w16cid:durableId="1034109964">
    <w:abstractNumId w:val="5"/>
  </w:num>
  <w:num w:numId="25" w16cid:durableId="24133951">
    <w:abstractNumId w:val="5"/>
  </w:num>
  <w:num w:numId="26" w16cid:durableId="43260941">
    <w:abstractNumId w:val="5"/>
  </w:num>
  <w:num w:numId="27" w16cid:durableId="1400058216">
    <w:abstractNumId w:val="5"/>
  </w:num>
  <w:num w:numId="28" w16cid:durableId="884953920">
    <w:abstractNumId w:val="5"/>
  </w:num>
  <w:num w:numId="29" w16cid:durableId="401294010">
    <w:abstractNumId w:val="5"/>
  </w:num>
  <w:num w:numId="30" w16cid:durableId="985165872">
    <w:abstractNumId w:val="5"/>
  </w:num>
  <w:num w:numId="31" w16cid:durableId="59014765">
    <w:abstractNumId w:val="5"/>
  </w:num>
  <w:num w:numId="32" w16cid:durableId="1516768763">
    <w:abstractNumId w:val="5"/>
  </w:num>
  <w:num w:numId="33" w16cid:durableId="494880658">
    <w:abstractNumId w:val="5"/>
  </w:num>
  <w:num w:numId="34" w16cid:durableId="1622147774">
    <w:abstractNumId w:val="5"/>
  </w:num>
  <w:num w:numId="35" w16cid:durableId="2115975790">
    <w:abstractNumId w:val="5"/>
  </w:num>
  <w:num w:numId="36" w16cid:durableId="1504709762">
    <w:abstractNumId w:val="5"/>
  </w:num>
  <w:num w:numId="37" w16cid:durableId="1177962156">
    <w:abstractNumId w:val="5"/>
  </w:num>
  <w:num w:numId="38" w16cid:durableId="959918299">
    <w:abstractNumId w:val="5"/>
  </w:num>
  <w:num w:numId="39" w16cid:durableId="182416085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ListTable3-Accent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673"/>
    <w:rsid w:val="00000484"/>
    <w:rsid w:val="00000568"/>
    <w:rsid w:val="0000084F"/>
    <w:rsid w:val="000042AA"/>
    <w:rsid w:val="00004D4E"/>
    <w:rsid w:val="0000562F"/>
    <w:rsid w:val="000076D8"/>
    <w:rsid w:val="0000780D"/>
    <w:rsid w:val="000100C1"/>
    <w:rsid w:val="00013456"/>
    <w:rsid w:val="000136C0"/>
    <w:rsid w:val="000150B3"/>
    <w:rsid w:val="00015225"/>
    <w:rsid w:val="00016271"/>
    <w:rsid w:val="00020958"/>
    <w:rsid w:val="00021C6D"/>
    <w:rsid w:val="00022478"/>
    <w:rsid w:val="00024719"/>
    <w:rsid w:val="00025EDA"/>
    <w:rsid w:val="0002786A"/>
    <w:rsid w:val="00030492"/>
    <w:rsid w:val="000321E2"/>
    <w:rsid w:val="00033929"/>
    <w:rsid w:val="00033ABF"/>
    <w:rsid w:val="00033FE3"/>
    <w:rsid w:val="00034AD5"/>
    <w:rsid w:val="00035C96"/>
    <w:rsid w:val="000365FA"/>
    <w:rsid w:val="00036E59"/>
    <w:rsid w:val="00041555"/>
    <w:rsid w:val="00041F17"/>
    <w:rsid w:val="00042235"/>
    <w:rsid w:val="000424C1"/>
    <w:rsid w:val="000432E8"/>
    <w:rsid w:val="00043F65"/>
    <w:rsid w:val="000458EE"/>
    <w:rsid w:val="00046766"/>
    <w:rsid w:val="00047011"/>
    <w:rsid w:val="000510C0"/>
    <w:rsid w:val="000527F5"/>
    <w:rsid w:val="000540CC"/>
    <w:rsid w:val="0005440F"/>
    <w:rsid w:val="00054D0E"/>
    <w:rsid w:val="000555A2"/>
    <w:rsid w:val="00055E87"/>
    <w:rsid w:val="00060CF8"/>
    <w:rsid w:val="00063694"/>
    <w:rsid w:val="00067A5B"/>
    <w:rsid w:val="00067BFC"/>
    <w:rsid w:val="0007051C"/>
    <w:rsid w:val="00070773"/>
    <w:rsid w:val="00072B37"/>
    <w:rsid w:val="000734F1"/>
    <w:rsid w:val="000756C5"/>
    <w:rsid w:val="00080942"/>
    <w:rsid w:val="00081550"/>
    <w:rsid w:val="000819CE"/>
    <w:rsid w:val="00082817"/>
    <w:rsid w:val="0008294F"/>
    <w:rsid w:val="00082C76"/>
    <w:rsid w:val="00082CD1"/>
    <w:rsid w:val="00082F5E"/>
    <w:rsid w:val="000831AC"/>
    <w:rsid w:val="00083CC5"/>
    <w:rsid w:val="000849C5"/>
    <w:rsid w:val="00084F15"/>
    <w:rsid w:val="00086884"/>
    <w:rsid w:val="00086B5E"/>
    <w:rsid w:val="000877A2"/>
    <w:rsid w:val="000915BA"/>
    <w:rsid w:val="00091C24"/>
    <w:rsid w:val="00091C81"/>
    <w:rsid w:val="00092AB9"/>
    <w:rsid w:val="00092EE0"/>
    <w:rsid w:val="000932F0"/>
    <w:rsid w:val="00093496"/>
    <w:rsid w:val="00094262"/>
    <w:rsid w:val="00096E36"/>
    <w:rsid w:val="00097EB1"/>
    <w:rsid w:val="000A0176"/>
    <w:rsid w:val="000A0550"/>
    <w:rsid w:val="000A67EF"/>
    <w:rsid w:val="000A6EB1"/>
    <w:rsid w:val="000A76CB"/>
    <w:rsid w:val="000B003C"/>
    <w:rsid w:val="000B01B5"/>
    <w:rsid w:val="000B3ED5"/>
    <w:rsid w:val="000B4614"/>
    <w:rsid w:val="000B46E7"/>
    <w:rsid w:val="000B5AF7"/>
    <w:rsid w:val="000B5CA2"/>
    <w:rsid w:val="000B6FC5"/>
    <w:rsid w:val="000C0DDF"/>
    <w:rsid w:val="000C0F2C"/>
    <w:rsid w:val="000C1288"/>
    <w:rsid w:val="000C211A"/>
    <w:rsid w:val="000C3E38"/>
    <w:rsid w:val="000C3E7E"/>
    <w:rsid w:val="000C3F63"/>
    <w:rsid w:val="000C468A"/>
    <w:rsid w:val="000C63A6"/>
    <w:rsid w:val="000C641A"/>
    <w:rsid w:val="000C6CDC"/>
    <w:rsid w:val="000C751F"/>
    <w:rsid w:val="000D0ABB"/>
    <w:rsid w:val="000D190F"/>
    <w:rsid w:val="000D2581"/>
    <w:rsid w:val="000D2974"/>
    <w:rsid w:val="000D2B53"/>
    <w:rsid w:val="000D2E05"/>
    <w:rsid w:val="000D3B58"/>
    <w:rsid w:val="000D3B70"/>
    <w:rsid w:val="000D3F13"/>
    <w:rsid w:val="000D47F9"/>
    <w:rsid w:val="000D535D"/>
    <w:rsid w:val="000D6CCE"/>
    <w:rsid w:val="000D6F0B"/>
    <w:rsid w:val="000D7801"/>
    <w:rsid w:val="000E07FB"/>
    <w:rsid w:val="000E18B6"/>
    <w:rsid w:val="000E29EF"/>
    <w:rsid w:val="000E2C85"/>
    <w:rsid w:val="000E5804"/>
    <w:rsid w:val="000E62EA"/>
    <w:rsid w:val="000E736D"/>
    <w:rsid w:val="000E774C"/>
    <w:rsid w:val="000F091F"/>
    <w:rsid w:val="000F0C6B"/>
    <w:rsid w:val="000F2ED7"/>
    <w:rsid w:val="000F37E1"/>
    <w:rsid w:val="000F4CA7"/>
    <w:rsid w:val="000F63EF"/>
    <w:rsid w:val="000F761F"/>
    <w:rsid w:val="000F7B83"/>
    <w:rsid w:val="00100EA1"/>
    <w:rsid w:val="00101B91"/>
    <w:rsid w:val="00101C9E"/>
    <w:rsid w:val="001029B2"/>
    <w:rsid w:val="00103196"/>
    <w:rsid w:val="00106542"/>
    <w:rsid w:val="00113125"/>
    <w:rsid w:val="00113BB3"/>
    <w:rsid w:val="0011477C"/>
    <w:rsid w:val="0011532D"/>
    <w:rsid w:val="00115C3E"/>
    <w:rsid w:val="00115D3A"/>
    <w:rsid w:val="00117321"/>
    <w:rsid w:val="00124F0E"/>
    <w:rsid w:val="00125369"/>
    <w:rsid w:val="0012545D"/>
    <w:rsid w:val="00125FE4"/>
    <w:rsid w:val="00131B6F"/>
    <w:rsid w:val="0013311B"/>
    <w:rsid w:val="00133440"/>
    <w:rsid w:val="00133907"/>
    <w:rsid w:val="0013557A"/>
    <w:rsid w:val="00137730"/>
    <w:rsid w:val="00142019"/>
    <w:rsid w:val="00142298"/>
    <w:rsid w:val="001428D0"/>
    <w:rsid w:val="001431C1"/>
    <w:rsid w:val="00143D8A"/>
    <w:rsid w:val="00145939"/>
    <w:rsid w:val="00145CC6"/>
    <w:rsid w:val="0014667E"/>
    <w:rsid w:val="00147B06"/>
    <w:rsid w:val="00153852"/>
    <w:rsid w:val="0015464F"/>
    <w:rsid w:val="001560F7"/>
    <w:rsid w:val="001600E0"/>
    <w:rsid w:val="001621FC"/>
    <w:rsid w:val="00163005"/>
    <w:rsid w:val="00163348"/>
    <w:rsid w:val="001639D7"/>
    <w:rsid w:val="00164AC3"/>
    <w:rsid w:val="00164FEC"/>
    <w:rsid w:val="001661AE"/>
    <w:rsid w:val="00167782"/>
    <w:rsid w:val="00167C79"/>
    <w:rsid w:val="00167DBC"/>
    <w:rsid w:val="00170F8E"/>
    <w:rsid w:val="00172B9F"/>
    <w:rsid w:val="001731B5"/>
    <w:rsid w:val="001744F2"/>
    <w:rsid w:val="0017515F"/>
    <w:rsid w:val="00175966"/>
    <w:rsid w:val="00181BB7"/>
    <w:rsid w:val="001869CA"/>
    <w:rsid w:val="0018702B"/>
    <w:rsid w:val="00187045"/>
    <w:rsid w:val="0019003A"/>
    <w:rsid w:val="00192A44"/>
    <w:rsid w:val="001932E4"/>
    <w:rsid w:val="00193411"/>
    <w:rsid w:val="00194FCE"/>
    <w:rsid w:val="00196A8A"/>
    <w:rsid w:val="001972C5"/>
    <w:rsid w:val="001973F4"/>
    <w:rsid w:val="001978F1"/>
    <w:rsid w:val="001A1FB1"/>
    <w:rsid w:val="001A35AC"/>
    <w:rsid w:val="001A4728"/>
    <w:rsid w:val="001A514A"/>
    <w:rsid w:val="001A5E4F"/>
    <w:rsid w:val="001A6458"/>
    <w:rsid w:val="001A6D09"/>
    <w:rsid w:val="001A7116"/>
    <w:rsid w:val="001A721B"/>
    <w:rsid w:val="001A776D"/>
    <w:rsid w:val="001B01E7"/>
    <w:rsid w:val="001B022F"/>
    <w:rsid w:val="001B0AE6"/>
    <w:rsid w:val="001B1655"/>
    <w:rsid w:val="001B16C2"/>
    <w:rsid w:val="001B39A1"/>
    <w:rsid w:val="001B4A28"/>
    <w:rsid w:val="001B4EFC"/>
    <w:rsid w:val="001B5E8C"/>
    <w:rsid w:val="001C4BC3"/>
    <w:rsid w:val="001C6A76"/>
    <w:rsid w:val="001C6EB5"/>
    <w:rsid w:val="001D4201"/>
    <w:rsid w:val="001D445B"/>
    <w:rsid w:val="001D4551"/>
    <w:rsid w:val="001D77A0"/>
    <w:rsid w:val="001E0D09"/>
    <w:rsid w:val="001E1F81"/>
    <w:rsid w:val="001E29A2"/>
    <w:rsid w:val="001E3D1B"/>
    <w:rsid w:val="001E6E54"/>
    <w:rsid w:val="001E7859"/>
    <w:rsid w:val="001E7C45"/>
    <w:rsid w:val="001E7E23"/>
    <w:rsid w:val="001F0F33"/>
    <w:rsid w:val="001F656E"/>
    <w:rsid w:val="001F7CC8"/>
    <w:rsid w:val="002000FF"/>
    <w:rsid w:val="00200F5B"/>
    <w:rsid w:val="002012B6"/>
    <w:rsid w:val="00201418"/>
    <w:rsid w:val="002020E8"/>
    <w:rsid w:val="00202E13"/>
    <w:rsid w:val="00203A26"/>
    <w:rsid w:val="00206521"/>
    <w:rsid w:val="002102DB"/>
    <w:rsid w:val="0021116B"/>
    <w:rsid w:val="00212033"/>
    <w:rsid w:val="00214ABC"/>
    <w:rsid w:val="0022155D"/>
    <w:rsid w:val="002216D0"/>
    <w:rsid w:val="0022198B"/>
    <w:rsid w:val="00222172"/>
    <w:rsid w:val="00222E83"/>
    <w:rsid w:val="0022313C"/>
    <w:rsid w:val="00223683"/>
    <w:rsid w:val="00223E13"/>
    <w:rsid w:val="002261BF"/>
    <w:rsid w:val="00227EFB"/>
    <w:rsid w:val="002316EC"/>
    <w:rsid w:val="002339ED"/>
    <w:rsid w:val="002339F0"/>
    <w:rsid w:val="00233F8C"/>
    <w:rsid w:val="00235DC8"/>
    <w:rsid w:val="0023646D"/>
    <w:rsid w:val="00236C10"/>
    <w:rsid w:val="002372AF"/>
    <w:rsid w:val="002376AC"/>
    <w:rsid w:val="00237822"/>
    <w:rsid w:val="00241630"/>
    <w:rsid w:val="002426F0"/>
    <w:rsid w:val="002427D5"/>
    <w:rsid w:val="002430EB"/>
    <w:rsid w:val="00244A45"/>
    <w:rsid w:val="0024537A"/>
    <w:rsid w:val="002465F5"/>
    <w:rsid w:val="002502AE"/>
    <w:rsid w:val="00250496"/>
    <w:rsid w:val="00250A12"/>
    <w:rsid w:val="002523F6"/>
    <w:rsid w:val="00255A05"/>
    <w:rsid w:val="00256628"/>
    <w:rsid w:val="002568E4"/>
    <w:rsid w:val="00256D3B"/>
    <w:rsid w:val="002579B9"/>
    <w:rsid w:val="00257CEF"/>
    <w:rsid w:val="00260123"/>
    <w:rsid w:val="0026241B"/>
    <w:rsid w:val="00263875"/>
    <w:rsid w:val="00264080"/>
    <w:rsid w:val="0026466E"/>
    <w:rsid w:val="002675B6"/>
    <w:rsid w:val="00267BAB"/>
    <w:rsid w:val="002729BD"/>
    <w:rsid w:val="002732BD"/>
    <w:rsid w:val="00273707"/>
    <w:rsid w:val="00275A36"/>
    <w:rsid w:val="00277287"/>
    <w:rsid w:val="00277B01"/>
    <w:rsid w:val="00280205"/>
    <w:rsid w:val="0028088F"/>
    <w:rsid w:val="00281859"/>
    <w:rsid w:val="00281939"/>
    <w:rsid w:val="00281E4C"/>
    <w:rsid w:val="00282F91"/>
    <w:rsid w:val="002838A8"/>
    <w:rsid w:val="002838A9"/>
    <w:rsid w:val="00283B18"/>
    <w:rsid w:val="00285027"/>
    <w:rsid w:val="0028723F"/>
    <w:rsid w:val="00287FE2"/>
    <w:rsid w:val="002919BF"/>
    <w:rsid w:val="002945F5"/>
    <w:rsid w:val="00295C34"/>
    <w:rsid w:val="00296470"/>
    <w:rsid w:val="00296CCA"/>
    <w:rsid w:val="002A00ED"/>
    <w:rsid w:val="002A08BD"/>
    <w:rsid w:val="002A09BC"/>
    <w:rsid w:val="002A0F26"/>
    <w:rsid w:val="002A1C60"/>
    <w:rsid w:val="002A1DB2"/>
    <w:rsid w:val="002A2600"/>
    <w:rsid w:val="002A60A5"/>
    <w:rsid w:val="002A6990"/>
    <w:rsid w:val="002A6D23"/>
    <w:rsid w:val="002A6FA1"/>
    <w:rsid w:val="002A7EDD"/>
    <w:rsid w:val="002B1012"/>
    <w:rsid w:val="002B1DCD"/>
    <w:rsid w:val="002B3A5D"/>
    <w:rsid w:val="002B5BC8"/>
    <w:rsid w:val="002B7172"/>
    <w:rsid w:val="002C0054"/>
    <w:rsid w:val="002C0D2E"/>
    <w:rsid w:val="002C1BF2"/>
    <w:rsid w:val="002C2007"/>
    <w:rsid w:val="002C40BD"/>
    <w:rsid w:val="002C5DEF"/>
    <w:rsid w:val="002C6807"/>
    <w:rsid w:val="002C6C43"/>
    <w:rsid w:val="002C7310"/>
    <w:rsid w:val="002C75D8"/>
    <w:rsid w:val="002C776E"/>
    <w:rsid w:val="002D1404"/>
    <w:rsid w:val="002D15D0"/>
    <w:rsid w:val="002D1C3F"/>
    <w:rsid w:val="002D23B6"/>
    <w:rsid w:val="002D2572"/>
    <w:rsid w:val="002D5817"/>
    <w:rsid w:val="002D72A0"/>
    <w:rsid w:val="002D74EE"/>
    <w:rsid w:val="002E030E"/>
    <w:rsid w:val="002E1B07"/>
    <w:rsid w:val="002E2863"/>
    <w:rsid w:val="002E295B"/>
    <w:rsid w:val="002E33F8"/>
    <w:rsid w:val="002E3EE2"/>
    <w:rsid w:val="002E4A2B"/>
    <w:rsid w:val="002E7310"/>
    <w:rsid w:val="002E754D"/>
    <w:rsid w:val="002E7BB8"/>
    <w:rsid w:val="002F0187"/>
    <w:rsid w:val="002F280D"/>
    <w:rsid w:val="002F2B48"/>
    <w:rsid w:val="002F2C15"/>
    <w:rsid w:val="002F33EC"/>
    <w:rsid w:val="002F368D"/>
    <w:rsid w:val="002F4E43"/>
    <w:rsid w:val="002F6E1B"/>
    <w:rsid w:val="0030009E"/>
    <w:rsid w:val="00300218"/>
    <w:rsid w:val="003009B2"/>
    <w:rsid w:val="003028DE"/>
    <w:rsid w:val="00302ACE"/>
    <w:rsid w:val="00303372"/>
    <w:rsid w:val="00303596"/>
    <w:rsid w:val="003039E8"/>
    <w:rsid w:val="00304FE8"/>
    <w:rsid w:val="00306E0F"/>
    <w:rsid w:val="003109AA"/>
    <w:rsid w:val="003119FA"/>
    <w:rsid w:val="00311E28"/>
    <w:rsid w:val="00312BFF"/>
    <w:rsid w:val="003144DC"/>
    <w:rsid w:val="003152AF"/>
    <w:rsid w:val="00315CAE"/>
    <w:rsid w:val="003162ED"/>
    <w:rsid w:val="00317210"/>
    <w:rsid w:val="00317979"/>
    <w:rsid w:val="00317F28"/>
    <w:rsid w:val="00320C94"/>
    <w:rsid w:val="00320CE4"/>
    <w:rsid w:val="00320FCA"/>
    <w:rsid w:val="0032246B"/>
    <w:rsid w:val="00325D7C"/>
    <w:rsid w:val="00327EDE"/>
    <w:rsid w:val="00330DB9"/>
    <w:rsid w:val="00331BEC"/>
    <w:rsid w:val="00333CC3"/>
    <w:rsid w:val="0033402B"/>
    <w:rsid w:val="00337E53"/>
    <w:rsid w:val="00340A8C"/>
    <w:rsid w:val="00342323"/>
    <w:rsid w:val="00342B9B"/>
    <w:rsid w:val="003431C5"/>
    <w:rsid w:val="00343806"/>
    <w:rsid w:val="003438B9"/>
    <w:rsid w:val="003504B7"/>
    <w:rsid w:val="0035153E"/>
    <w:rsid w:val="00354DC8"/>
    <w:rsid w:val="00357096"/>
    <w:rsid w:val="00360C93"/>
    <w:rsid w:val="00361AD6"/>
    <w:rsid w:val="00362340"/>
    <w:rsid w:val="00362A66"/>
    <w:rsid w:val="003646CE"/>
    <w:rsid w:val="00364BE6"/>
    <w:rsid w:val="003660D9"/>
    <w:rsid w:val="003663C9"/>
    <w:rsid w:val="00367264"/>
    <w:rsid w:val="003673E6"/>
    <w:rsid w:val="00367AE7"/>
    <w:rsid w:val="003737F9"/>
    <w:rsid w:val="00373A9E"/>
    <w:rsid w:val="00373B4B"/>
    <w:rsid w:val="00374079"/>
    <w:rsid w:val="00374250"/>
    <w:rsid w:val="00381299"/>
    <w:rsid w:val="00381B21"/>
    <w:rsid w:val="003831F7"/>
    <w:rsid w:val="00385B4C"/>
    <w:rsid w:val="003906CA"/>
    <w:rsid w:val="0039158C"/>
    <w:rsid w:val="00392413"/>
    <w:rsid w:val="00392887"/>
    <w:rsid w:val="0039399C"/>
    <w:rsid w:val="00393A14"/>
    <w:rsid w:val="003941F4"/>
    <w:rsid w:val="00394AFD"/>
    <w:rsid w:val="00395759"/>
    <w:rsid w:val="00395846"/>
    <w:rsid w:val="00395C3E"/>
    <w:rsid w:val="003963FE"/>
    <w:rsid w:val="00396D7F"/>
    <w:rsid w:val="003A0F2C"/>
    <w:rsid w:val="003A115E"/>
    <w:rsid w:val="003A2E92"/>
    <w:rsid w:val="003A3ACF"/>
    <w:rsid w:val="003A3E42"/>
    <w:rsid w:val="003A49A5"/>
    <w:rsid w:val="003A5120"/>
    <w:rsid w:val="003A51E8"/>
    <w:rsid w:val="003A772F"/>
    <w:rsid w:val="003B1524"/>
    <w:rsid w:val="003B2097"/>
    <w:rsid w:val="003B292B"/>
    <w:rsid w:val="003B2D46"/>
    <w:rsid w:val="003B322D"/>
    <w:rsid w:val="003B44BE"/>
    <w:rsid w:val="003B6D20"/>
    <w:rsid w:val="003C0688"/>
    <w:rsid w:val="003C106E"/>
    <w:rsid w:val="003C15D1"/>
    <w:rsid w:val="003C4DBA"/>
    <w:rsid w:val="003C5934"/>
    <w:rsid w:val="003C5CE7"/>
    <w:rsid w:val="003C5FF1"/>
    <w:rsid w:val="003C67B5"/>
    <w:rsid w:val="003C70F8"/>
    <w:rsid w:val="003C7C5B"/>
    <w:rsid w:val="003D046F"/>
    <w:rsid w:val="003D2CA4"/>
    <w:rsid w:val="003D3004"/>
    <w:rsid w:val="003D57C4"/>
    <w:rsid w:val="003D60BE"/>
    <w:rsid w:val="003E018E"/>
    <w:rsid w:val="003E3D28"/>
    <w:rsid w:val="003E3F23"/>
    <w:rsid w:val="003E56FC"/>
    <w:rsid w:val="003F0F64"/>
    <w:rsid w:val="003F28CF"/>
    <w:rsid w:val="003F4A0A"/>
    <w:rsid w:val="003F7110"/>
    <w:rsid w:val="004007FD"/>
    <w:rsid w:val="00402DC4"/>
    <w:rsid w:val="004033C5"/>
    <w:rsid w:val="00403DBF"/>
    <w:rsid w:val="00404111"/>
    <w:rsid w:val="00405D2B"/>
    <w:rsid w:val="00406612"/>
    <w:rsid w:val="0041073D"/>
    <w:rsid w:val="00410E1F"/>
    <w:rsid w:val="00410ED3"/>
    <w:rsid w:val="00410ED9"/>
    <w:rsid w:val="0041215F"/>
    <w:rsid w:val="004136BE"/>
    <w:rsid w:val="0041550A"/>
    <w:rsid w:val="00416688"/>
    <w:rsid w:val="004179A7"/>
    <w:rsid w:val="00420555"/>
    <w:rsid w:val="00421074"/>
    <w:rsid w:val="0042127E"/>
    <w:rsid w:val="00421759"/>
    <w:rsid w:val="00422DE3"/>
    <w:rsid w:val="00424990"/>
    <w:rsid w:val="00425DD4"/>
    <w:rsid w:val="004261D9"/>
    <w:rsid w:val="00427A76"/>
    <w:rsid w:val="00431140"/>
    <w:rsid w:val="004318CF"/>
    <w:rsid w:val="00431CCB"/>
    <w:rsid w:val="00431E0E"/>
    <w:rsid w:val="00432DFE"/>
    <w:rsid w:val="00434986"/>
    <w:rsid w:val="00435DF2"/>
    <w:rsid w:val="004369E9"/>
    <w:rsid w:val="004373F1"/>
    <w:rsid w:val="004379CD"/>
    <w:rsid w:val="004412A7"/>
    <w:rsid w:val="00441839"/>
    <w:rsid w:val="004418B7"/>
    <w:rsid w:val="00444743"/>
    <w:rsid w:val="004451C7"/>
    <w:rsid w:val="00445CC5"/>
    <w:rsid w:val="00445D20"/>
    <w:rsid w:val="00447E12"/>
    <w:rsid w:val="0045126C"/>
    <w:rsid w:val="0045128C"/>
    <w:rsid w:val="004528F6"/>
    <w:rsid w:val="00452EAC"/>
    <w:rsid w:val="00456C21"/>
    <w:rsid w:val="00460BBC"/>
    <w:rsid w:val="00461DFC"/>
    <w:rsid w:val="004641BE"/>
    <w:rsid w:val="004666CA"/>
    <w:rsid w:val="00470C46"/>
    <w:rsid w:val="00471CE4"/>
    <w:rsid w:val="00472705"/>
    <w:rsid w:val="004731CF"/>
    <w:rsid w:val="004751C1"/>
    <w:rsid w:val="00475D94"/>
    <w:rsid w:val="00476011"/>
    <w:rsid w:val="00476899"/>
    <w:rsid w:val="00481C74"/>
    <w:rsid w:val="00484879"/>
    <w:rsid w:val="00484951"/>
    <w:rsid w:val="00486A1B"/>
    <w:rsid w:val="00486C30"/>
    <w:rsid w:val="00486C99"/>
    <w:rsid w:val="00487A41"/>
    <w:rsid w:val="00490650"/>
    <w:rsid w:val="00491D52"/>
    <w:rsid w:val="00491FD0"/>
    <w:rsid w:val="00492B31"/>
    <w:rsid w:val="0049363C"/>
    <w:rsid w:val="00493ACE"/>
    <w:rsid w:val="0049458C"/>
    <w:rsid w:val="00495040"/>
    <w:rsid w:val="0049670D"/>
    <w:rsid w:val="004A0677"/>
    <w:rsid w:val="004A2097"/>
    <w:rsid w:val="004A288C"/>
    <w:rsid w:val="004A3916"/>
    <w:rsid w:val="004A4DC8"/>
    <w:rsid w:val="004A57AC"/>
    <w:rsid w:val="004A57FE"/>
    <w:rsid w:val="004A7908"/>
    <w:rsid w:val="004B06E9"/>
    <w:rsid w:val="004B10C6"/>
    <w:rsid w:val="004B2675"/>
    <w:rsid w:val="004B68F0"/>
    <w:rsid w:val="004B77EC"/>
    <w:rsid w:val="004C1344"/>
    <w:rsid w:val="004C2557"/>
    <w:rsid w:val="004C469E"/>
    <w:rsid w:val="004C618A"/>
    <w:rsid w:val="004C6F45"/>
    <w:rsid w:val="004C75FF"/>
    <w:rsid w:val="004C7D34"/>
    <w:rsid w:val="004D045B"/>
    <w:rsid w:val="004D0817"/>
    <w:rsid w:val="004D0C75"/>
    <w:rsid w:val="004D2A21"/>
    <w:rsid w:val="004D3194"/>
    <w:rsid w:val="004D3BA7"/>
    <w:rsid w:val="004D3C2E"/>
    <w:rsid w:val="004D439D"/>
    <w:rsid w:val="004D574F"/>
    <w:rsid w:val="004D5F8A"/>
    <w:rsid w:val="004D6245"/>
    <w:rsid w:val="004D7731"/>
    <w:rsid w:val="004E00F6"/>
    <w:rsid w:val="004E260F"/>
    <w:rsid w:val="004E37CF"/>
    <w:rsid w:val="004E6988"/>
    <w:rsid w:val="004E6E6F"/>
    <w:rsid w:val="004E7166"/>
    <w:rsid w:val="004E71BF"/>
    <w:rsid w:val="004E7A85"/>
    <w:rsid w:val="004F0FC4"/>
    <w:rsid w:val="004F219B"/>
    <w:rsid w:val="004F42A7"/>
    <w:rsid w:val="004F5CA5"/>
    <w:rsid w:val="004F6002"/>
    <w:rsid w:val="004F618A"/>
    <w:rsid w:val="005011F2"/>
    <w:rsid w:val="00503E90"/>
    <w:rsid w:val="00504D88"/>
    <w:rsid w:val="00506250"/>
    <w:rsid w:val="0050651E"/>
    <w:rsid w:val="0050741D"/>
    <w:rsid w:val="0051197C"/>
    <w:rsid w:val="00517545"/>
    <w:rsid w:val="005178D0"/>
    <w:rsid w:val="00517D8D"/>
    <w:rsid w:val="0052058F"/>
    <w:rsid w:val="00521304"/>
    <w:rsid w:val="0052454F"/>
    <w:rsid w:val="005245E2"/>
    <w:rsid w:val="005248B9"/>
    <w:rsid w:val="0052499A"/>
    <w:rsid w:val="00524BE2"/>
    <w:rsid w:val="00525C60"/>
    <w:rsid w:val="00525E40"/>
    <w:rsid w:val="005266AC"/>
    <w:rsid w:val="00530188"/>
    <w:rsid w:val="005302AB"/>
    <w:rsid w:val="005314C9"/>
    <w:rsid w:val="00532101"/>
    <w:rsid w:val="00532238"/>
    <w:rsid w:val="00532A4A"/>
    <w:rsid w:val="00534867"/>
    <w:rsid w:val="00535C57"/>
    <w:rsid w:val="00536058"/>
    <w:rsid w:val="00537460"/>
    <w:rsid w:val="00537D30"/>
    <w:rsid w:val="00540C66"/>
    <w:rsid w:val="00541033"/>
    <w:rsid w:val="00542405"/>
    <w:rsid w:val="00542444"/>
    <w:rsid w:val="0054359D"/>
    <w:rsid w:val="005437CB"/>
    <w:rsid w:val="00543C53"/>
    <w:rsid w:val="00543CEC"/>
    <w:rsid w:val="005441E6"/>
    <w:rsid w:val="00544B13"/>
    <w:rsid w:val="00545E22"/>
    <w:rsid w:val="00551364"/>
    <w:rsid w:val="00553644"/>
    <w:rsid w:val="0055374C"/>
    <w:rsid w:val="005559EB"/>
    <w:rsid w:val="00555C27"/>
    <w:rsid w:val="00556F25"/>
    <w:rsid w:val="00561585"/>
    <w:rsid w:val="0056176D"/>
    <w:rsid w:val="005619A1"/>
    <w:rsid w:val="00561FDC"/>
    <w:rsid w:val="00562A3B"/>
    <w:rsid w:val="005636F9"/>
    <w:rsid w:val="005648D6"/>
    <w:rsid w:val="005662E0"/>
    <w:rsid w:val="00566C7E"/>
    <w:rsid w:val="005727D2"/>
    <w:rsid w:val="00572DBB"/>
    <w:rsid w:val="00575569"/>
    <w:rsid w:val="00575757"/>
    <w:rsid w:val="0057587B"/>
    <w:rsid w:val="00575B1C"/>
    <w:rsid w:val="005772AF"/>
    <w:rsid w:val="005809BD"/>
    <w:rsid w:val="00582B52"/>
    <w:rsid w:val="005851B8"/>
    <w:rsid w:val="00586ACF"/>
    <w:rsid w:val="005876B1"/>
    <w:rsid w:val="005877EA"/>
    <w:rsid w:val="00590029"/>
    <w:rsid w:val="00591817"/>
    <w:rsid w:val="00591CCA"/>
    <w:rsid w:val="005930FD"/>
    <w:rsid w:val="00596A01"/>
    <w:rsid w:val="00596EFB"/>
    <w:rsid w:val="00597ACB"/>
    <w:rsid w:val="005A1095"/>
    <w:rsid w:val="005A10A4"/>
    <w:rsid w:val="005A1554"/>
    <w:rsid w:val="005A44EC"/>
    <w:rsid w:val="005A58CD"/>
    <w:rsid w:val="005A7018"/>
    <w:rsid w:val="005B37FB"/>
    <w:rsid w:val="005B3CB1"/>
    <w:rsid w:val="005B4515"/>
    <w:rsid w:val="005B62D3"/>
    <w:rsid w:val="005B684D"/>
    <w:rsid w:val="005C0BC3"/>
    <w:rsid w:val="005C3E2A"/>
    <w:rsid w:val="005C4514"/>
    <w:rsid w:val="005C50F5"/>
    <w:rsid w:val="005C5C83"/>
    <w:rsid w:val="005C5F93"/>
    <w:rsid w:val="005C6D45"/>
    <w:rsid w:val="005D0328"/>
    <w:rsid w:val="005D0AC3"/>
    <w:rsid w:val="005D1D8A"/>
    <w:rsid w:val="005E0A5F"/>
    <w:rsid w:val="005E1256"/>
    <w:rsid w:val="005E4E84"/>
    <w:rsid w:val="005E5560"/>
    <w:rsid w:val="005F107D"/>
    <w:rsid w:val="005F1B2E"/>
    <w:rsid w:val="005F1C55"/>
    <w:rsid w:val="005F50F0"/>
    <w:rsid w:val="005F5498"/>
    <w:rsid w:val="005F5740"/>
    <w:rsid w:val="005F5CA2"/>
    <w:rsid w:val="005F6138"/>
    <w:rsid w:val="005F6441"/>
    <w:rsid w:val="005F6A60"/>
    <w:rsid w:val="005F7CE7"/>
    <w:rsid w:val="005F7DFA"/>
    <w:rsid w:val="0060127D"/>
    <w:rsid w:val="00602DA1"/>
    <w:rsid w:val="00604843"/>
    <w:rsid w:val="006052CD"/>
    <w:rsid w:val="00606AC7"/>
    <w:rsid w:val="006077FB"/>
    <w:rsid w:val="00610AAC"/>
    <w:rsid w:val="0061514D"/>
    <w:rsid w:val="0061792D"/>
    <w:rsid w:val="0061796A"/>
    <w:rsid w:val="0062014D"/>
    <w:rsid w:val="006204D8"/>
    <w:rsid w:val="00620667"/>
    <w:rsid w:val="00620CC2"/>
    <w:rsid w:val="0062565B"/>
    <w:rsid w:val="00627414"/>
    <w:rsid w:val="00627DDC"/>
    <w:rsid w:val="00631D25"/>
    <w:rsid w:val="00631E4A"/>
    <w:rsid w:val="0063231E"/>
    <w:rsid w:val="00634622"/>
    <w:rsid w:val="00634839"/>
    <w:rsid w:val="00634900"/>
    <w:rsid w:val="0063634C"/>
    <w:rsid w:val="006374BB"/>
    <w:rsid w:val="006377B3"/>
    <w:rsid w:val="006401D9"/>
    <w:rsid w:val="006405CA"/>
    <w:rsid w:val="006406E0"/>
    <w:rsid w:val="00640ABC"/>
    <w:rsid w:val="00640ACB"/>
    <w:rsid w:val="00641B22"/>
    <w:rsid w:val="006442F3"/>
    <w:rsid w:val="00644940"/>
    <w:rsid w:val="00644FD6"/>
    <w:rsid w:val="00645665"/>
    <w:rsid w:val="006471CF"/>
    <w:rsid w:val="00647A67"/>
    <w:rsid w:val="00647DCC"/>
    <w:rsid w:val="00650FC7"/>
    <w:rsid w:val="006525FF"/>
    <w:rsid w:val="0065366A"/>
    <w:rsid w:val="0065451F"/>
    <w:rsid w:val="0065472C"/>
    <w:rsid w:val="00655B60"/>
    <w:rsid w:val="00655DD0"/>
    <w:rsid w:val="00661101"/>
    <w:rsid w:val="00661730"/>
    <w:rsid w:val="00661E94"/>
    <w:rsid w:val="006630CE"/>
    <w:rsid w:val="006634ED"/>
    <w:rsid w:val="006639CC"/>
    <w:rsid w:val="00663ADB"/>
    <w:rsid w:val="006657F7"/>
    <w:rsid w:val="00666930"/>
    <w:rsid w:val="0067042D"/>
    <w:rsid w:val="00671020"/>
    <w:rsid w:val="00671056"/>
    <w:rsid w:val="006772F4"/>
    <w:rsid w:val="006803A6"/>
    <w:rsid w:val="0068192E"/>
    <w:rsid w:val="00682051"/>
    <w:rsid w:val="00682919"/>
    <w:rsid w:val="00684711"/>
    <w:rsid w:val="006854C4"/>
    <w:rsid w:val="00685943"/>
    <w:rsid w:val="00686748"/>
    <w:rsid w:val="00691E8B"/>
    <w:rsid w:val="00692867"/>
    <w:rsid w:val="0069503E"/>
    <w:rsid w:val="006960D1"/>
    <w:rsid w:val="00696242"/>
    <w:rsid w:val="006962FC"/>
    <w:rsid w:val="00697263"/>
    <w:rsid w:val="0069743D"/>
    <w:rsid w:val="00697DA2"/>
    <w:rsid w:val="006A1C8E"/>
    <w:rsid w:val="006A37E3"/>
    <w:rsid w:val="006A4A3E"/>
    <w:rsid w:val="006A4BDD"/>
    <w:rsid w:val="006A7AE7"/>
    <w:rsid w:val="006B04A1"/>
    <w:rsid w:val="006B067E"/>
    <w:rsid w:val="006B22F3"/>
    <w:rsid w:val="006B2362"/>
    <w:rsid w:val="006B2F8A"/>
    <w:rsid w:val="006B3420"/>
    <w:rsid w:val="006C0B12"/>
    <w:rsid w:val="006C2443"/>
    <w:rsid w:val="006C2F78"/>
    <w:rsid w:val="006C40B6"/>
    <w:rsid w:val="006C4420"/>
    <w:rsid w:val="006C4A1B"/>
    <w:rsid w:val="006C7019"/>
    <w:rsid w:val="006D0554"/>
    <w:rsid w:val="006D09E2"/>
    <w:rsid w:val="006D0B47"/>
    <w:rsid w:val="006D23F9"/>
    <w:rsid w:val="006D2731"/>
    <w:rsid w:val="006D3D1D"/>
    <w:rsid w:val="006D4AE7"/>
    <w:rsid w:val="006D6759"/>
    <w:rsid w:val="006D7BE5"/>
    <w:rsid w:val="006E223B"/>
    <w:rsid w:val="006E22BA"/>
    <w:rsid w:val="006E2753"/>
    <w:rsid w:val="006E27DC"/>
    <w:rsid w:val="006E3231"/>
    <w:rsid w:val="006E342D"/>
    <w:rsid w:val="006E589F"/>
    <w:rsid w:val="006E7133"/>
    <w:rsid w:val="006E72E3"/>
    <w:rsid w:val="006E76F0"/>
    <w:rsid w:val="006F0482"/>
    <w:rsid w:val="006F0DC6"/>
    <w:rsid w:val="006F192E"/>
    <w:rsid w:val="006F46F8"/>
    <w:rsid w:val="006F51F6"/>
    <w:rsid w:val="006F5256"/>
    <w:rsid w:val="006F5EB6"/>
    <w:rsid w:val="00701FF1"/>
    <w:rsid w:val="0070213D"/>
    <w:rsid w:val="0070269B"/>
    <w:rsid w:val="00702BCD"/>
    <w:rsid w:val="0070397B"/>
    <w:rsid w:val="00703CA6"/>
    <w:rsid w:val="0070689F"/>
    <w:rsid w:val="007106D1"/>
    <w:rsid w:val="00713FA1"/>
    <w:rsid w:val="00720DC2"/>
    <w:rsid w:val="00722B56"/>
    <w:rsid w:val="00723440"/>
    <w:rsid w:val="00724C4F"/>
    <w:rsid w:val="00725AC2"/>
    <w:rsid w:val="00726599"/>
    <w:rsid w:val="007265A3"/>
    <w:rsid w:val="00726725"/>
    <w:rsid w:val="00727C8C"/>
    <w:rsid w:val="00730F18"/>
    <w:rsid w:val="007321A5"/>
    <w:rsid w:val="00732E27"/>
    <w:rsid w:val="007338CA"/>
    <w:rsid w:val="00734086"/>
    <w:rsid w:val="00734B15"/>
    <w:rsid w:val="007357EA"/>
    <w:rsid w:val="00737D5E"/>
    <w:rsid w:val="00741706"/>
    <w:rsid w:val="00741934"/>
    <w:rsid w:val="0074270A"/>
    <w:rsid w:val="00742975"/>
    <w:rsid w:val="00742A77"/>
    <w:rsid w:val="00742FFC"/>
    <w:rsid w:val="00743847"/>
    <w:rsid w:val="007438C0"/>
    <w:rsid w:val="00745357"/>
    <w:rsid w:val="00745387"/>
    <w:rsid w:val="007453DF"/>
    <w:rsid w:val="00746B50"/>
    <w:rsid w:val="00747111"/>
    <w:rsid w:val="0075000D"/>
    <w:rsid w:val="00750980"/>
    <w:rsid w:val="00754158"/>
    <w:rsid w:val="0075421E"/>
    <w:rsid w:val="007573FA"/>
    <w:rsid w:val="0075759B"/>
    <w:rsid w:val="0076104D"/>
    <w:rsid w:val="007619C2"/>
    <w:rsid w:val="0076269A"/>
    <w:rsid w:val="007630BF"/>
    <w:rsid w:val="007635EB"/>
    <w:rsid w:val="007645FD"/>
    <w:rsid w:val="00764C3E"/>
    <w:rsid w:val="007652CB"/>
    <w:rsid w:val="0076538A"/>
    <w:rsid w:val="00765E2B"/>
    <w:rsid w:val="0077015F"/>
    <w:rsid w:val="007723F6"/>
    <w:rsid w:val="00772551"/>
    <w:rsid w:val="00772660"/>
    <w:rsid w:val="007764E5"/>
    <w:rsid w:val="00777824"/>
    <w:rsid w:val="00780865"/>
    <w:rsid w:val="007818CA"/>
    <w:rsid w:val="00784955"/>
    <w:rsid w:val="00786867"/>
    <w:rsid w:val="00786A5A"/>
    <w:rsid w:val="007870AF"/>
    <w:rsid w:val="007907B0"/>
    <w:rsid w:val="0079200E"/>
    <w:rsid w:val="0079440C"/>
    <w:rsid w:val="00794669"/>
    <w:rsid w:val="00794EC8"/>
    <w:rsid w:val="00796F81"/>
    <w:rsid w:val="007A0A17"/>
    <w:rsid w:val="007A12F8"/>
    <w:rsid w:val="007A1821"/>
    <w:rsid w:val="007A2924"/>
    <w:rsid w:val="007A41CE"/>
    <w:rsid w:val="007A6FEF"/>
    <w:rsid w:val="007B167D"/>
    <w:rsid w:val="007B2B5C"/>
    <w:rsid w:val="007B34DD"/>
    <w:rsid w:val="007B4C8D"/>
    <w:rsid w:val="007B6179"/>
    <w:rsid w:val="007B6244"/>
    <w:rsid w:val="007B6542"/>
    <w:rsid w:val="007C05D9"/>
    <w:rsid w:val="007C1673"/>
    <w:rsid w:val="007C3594"/>
    <w:rsid w:val="007C5430"/>
    <w:rsid w:val="007C6C41"/>
    <w:rsid w:val="007D1ED4"/>
    <w:rsid w:val="007D5E18"/>
    <w:rsid w:val="007D6E84"/>
    <w:rsid w:val="007D767A"/>
    <w:rsid w:val="007D7F20"/>
    <w:rsid w:val="007E1EBF"/>
    <w:rsid w:val="007E1EE7"/>
    <w:rsid w:val="007E4FE2"/>
    <w:rsid w:val="007E6C5D"/>
    <w:rsid w:val="007F3CCB"/>
    <w:rsid w:val="007F5729"/>
    <w:rsid w:val="007F6AD4"/>
    <w:rsid w:val="008027BF"/>
    <w:rsid w:val="00803CB7"/>
    <w:rsid w:val="00804C3E"/>
    <w:rsid w:val="00804E73"/>
    <w:rsid w:val="00807288"/>
    <w:rsid w:val="00807DFC"/>
    <w:rsid w:val="00810366"/>
    <w:rsid w:val="008129FC"/>
    <w:rsid w:val="00813AA0"/>
    <w:rsid w:val="00814E51"/>
    <w:rsid w:val="00814F05"/>
    <w:rsid w:val="00820CE4"/>
    <w:rsid w:val="00822012"/>
    <w:rsid w:val="00824D20"/>
    <w:rsid w:val="00825B18"/>
    <w:rsid w:val="00827D3A"/>
    <w:rsid w:val="008300F8"/>
    <w:rsid w:val="00831ACC"/>
    <w:rsid w:val="00832608"/>
    <w:rsid w:val="008326D6"/>
    <w:rsid w:val="0083389C"/>
    <w:rsid w:val="00836EB9"/>
    <w:rsid w:val="0083791E"/>
    <w:rsid w:val="00840626"/>
    <w:rsid w:val="0084094F"/>
    <w:rsid w:val="00841A89"/>
    <w:rsid w:val="00842F8A"/>
    <w:rsid w:val="00846845"/>
    <w:rsid w:val="00852F61"/>
    <w:rsid w:val="00853C02"/>
    <w:rsid w:val="008572CC"/>
    <w:rsid w:val="00860D33"/>
    <w:rsid w:val="00864AF5"/>
    <w:rsid w:val="0086702B"/>
    <w:rsid w:val="00867678"/>
    <w:rsid w:val="008700D3"/>
    <w:rsid w:val="00871658"/>
    <w:rsid w:val="00873B7C"/>
    <w:rsid w:val="0087477E"/>
    <w:rsid w:val="00877AE9"/>
    <w:rsid w:val="008801C1"/>
    <w:rsid w:val="0088361B"/>
    <w:rsid w:val="00883825"/>
    <w:rsid w:val="008851A6"/>
    <w:rsid w:val="00886299"/>
    <w:rsid w:val="00890AFB"/>
    <w:rsid w:val="00890F89"/>
    <w:rsid w:val="008910DD"/>
    <w:rsid w:val="0089191C"/>
    <w:rsid w:val="00892DDE"/>
    <w:rsid w:val="0089472A"/>
    <w:rsid w:val="00894CA1"/>
    <w:rsid w:val="00894DA5"/>
    <w:rsid w:val="00895D9B"/>
    <w:rsid w:val="008974B8"/>
    <w:rsid w:val="008A045B"/>
    <w:rsid w:val="008A0557"/>
    <w:rsid w:val="008A31AE"/>
    <w:rsid w:val="008A3325"/>
    <w:rsid w:val="008A362A"/>
    <w:rsid w:val="008A3ABA"/>
    <w:rsid w:val="008A56A0"/>
    <w:rsid w:val="008A62FE"/>
    <w:rsid w:val="008A7747"/>
    <w:rsid w:val="008A7FAC"/>
    <w:rsid w:val="008B4722"/>
    <w:rsid w:val="008B7695"/>
    <w:rsid w:val="008C01E7"/>
    <w:rsid w:val="008C0565"/>
    <w:rsid w:val="008C119F"/>
    <w:rsid w:val="008C1256"/>
    <w:rsid w:val="008C2528"/>
    <w:rsid w:val="008C2C85"/>
    <w:rsid w:val="008C3007"/>
    <w:rsid w:val="008C35A9"/>
    <w:rsid w:val="008C36CD"/>
    <w:rsid w:val="008C48F5"/>
    <w:rsid w:val="008C4E45"/>
    <w:rsid w:val="008C6D81"/>
    <w:rsid w:val="008C74A3"/>
    <w:rsid w:val="008D0BA1"/>
    <w:rsid w:val="008D323C"/>
    <w:rsid w:val="008D38FA"/>
    <w:rsid w:val="008D4EC2"/>
    <w:rsid w:val="008D781D"/>
    <w:rsid w:val="008D7E5E"/>
    <w:rsid w:val="008D7E9D"/>
    <w:rsid w:val="008E01D2"/>
    <w:rsid w:val="008E0B80"/>
    <w:rsid w:val="008E0F35"/>
    <w:rsid w:val="008E32B2"/>
    <w:rsid w:val="008E7E88"/>
    <w:rsid w:val="008F05EA"/>
    <w:rsid w:val="008F154C"/>
    <w:rsid w:val="008F29AC"/>
    <w:rsid w:val="008F60CE"/>
    <w:rsid w:val="008F66E8"/>
    <w:rsid w:val="008F7C55"/>
    <w:rsid w:val="0090130E"/>
    <w:rsid w:val="00901A4A"/>
    <w:rsid w:val="00901D8D"/>
    <w:rsid w:val="00902142"/>
    <w:rsid w:val="00905B25"/>
    <w:rsid w:val="009144A5"/>
    <w:rsid w:val="0091512F"/>
    <w:rsid w:val="009203FD"/>
    <w:rsid w:val="00923562"/>
    <w:rsid w:val="009235BA"/>
    <w:rsid w:val="00927D70"/>
    <w:rsid w:val="009300C2"/>
    <w:rsid w:val="009301A1"/>
    <w:rsid w:val="00930D03"/>
    <w:rsid w:val="00932392"/>
    <w:rsid w:val="00936C39"/>
    <w:rsid w:val="00940CBB"/>
    <w:rsid w:val="00942224"/>
    <w:rsid w:val="009428CE"/>
    <w:rsid w:val="009429A0"/>
    <w:rsid w:val="00943A32"/>
    <w:rsid w:val="00945741"/>
    <w:rsid w:val="009466ED"/>
    <w:rsid w:val="00947301"/>
    <w:rsid w:val="0094744C"/>
    <w:rsid w:val="00951334"/>
    <w:rsid w:val="00951B82"/>
    <w:rsid w:val="009533B7"/>
    <w:rsid w:val="00954192"/>
    <w:rsid w:val="00956AED"/>
    <w:rsid w:val="009577EB"/>
    <w:rsid w:val="0096034B"/>
    <w:rsid w:val="0096117A"/>
    <w:rsid w:val="0096291A"/>
    <w:rsid w:val="0096469D"/>
    <w:rsid w:val="00964CEE"/>
    <w:rsid w:val="009700EF"/>
    <w:rsid w:val="009707E9"/>
    <w:rsid w:val="00970F7C"/>
    <w:rsid w:val="0097308D"/>
    <w:rsid w:val="009741A2"/>
    <w:rsid w:val="00974762"/>
    <w:rsid w:val="00977922"/>
    <w:rsid w:val="00980CA2"/>
    <w:rsid w:val="0098375A"/>
    <w:rsid w:val="00985E3C"/>
    <w:rsid w:val="00986E4F"/>
    <w:rsid w:val="00987B04"/>
    <w:rsid w:val="00987EDC"/>
    <w:rsid w:val="009923CC"/>
    <w:rsid w:val="00994819"/>
    <w:rsid w:val="00994A5A"/>
    <w:rsid w:val="00995855"/>
    <w:rsid w:val="009969E8"/>
    <w:rsid w:val="00997657"/>
    <w:rsid w:val="009A0F7B"/>
    <w:rsid w:val="009A0FF1"/>
    <w:rsid w:val="009A2B3E"/>
    <w:rsid w:val="009A2C76"/>
    <w:rsid w:val="009A3A0C"/>
    <w:rsid w:val="009A6961"/>
    <w:rsid w:val="009A7214"/>
    <w:rsid w:val="009B042B"/>
    <w:rsid w:val="009B28BF"/>
    <w:rsid w:val="009B390B"/>
    <w:rsid w:val="009B5DB0"/>
    <w:rsid w:val="009B5F3F"/>
    <w:rsid w:val="009C029E"/>
    <w:rsid w:val="009C12C9"/>
    <w:rsid w:val="009C1795"/>
    <w:rsid w:val="009C21BA"/>
    <w:rsid w:val="009C25B7"/>
    <w:rsid w:val="009C3533"/>
    <w:rsid w:val="009C3AB8"/>
    <w:rsid w:val="009C5DE2"/>
    <w:rsid w:val="009C68BD"/>
    <w:rsid w:val="009D2945"/>
    <w:rsid w:val="009D3061"/>
    <w:rsid w:val="009D4D15"/>
    <w:rsid w:val="009D543D"/>
    <w:rsid w:val="009D59CD"/>
    <w:rsid w:val="009D5B88"/>
    <w:rsid w:val="009D615E"/>
    <w:rsid w:val="009E4D74"/>
    <w:rsid w:val="009E5968"/>
    <w:rsid w:val="009F071F"/>
    <w:rsid w:val="009F0CB9"/>
    <w:rsid w:val="009F0CF4"/>
    <w:rsid w:val="009F76D6"/>
    <w:rsid w:val="009F7F8E"/>
    <w:rsid w:val="00A01205"/>
    <w:rsid w:val="00A01683"/>
    <w:rsid w:val="00A021ED"/>
    <w:rsid w:val="00A025A0"/>
    <w:rsid w:val="00A02D49"/>
    <w:rsid w:val="00A03014"/>
    <w:rsid w:val="00A05021"/>
    <w:rsid w:val="00A0613C"/>
    <w:rsid w:val="00A1094A"/>
    <w:rsid w:val="00A174EE"/>
    <w:rsid w:val="00A22A74"/>
    <w:rsid w:val="00A23285"/>
    <w:rsid w:val="00A24AB2"/>
    <w:rsid w:val="00A26530"/>
    <w:rsid w:val="00A27411"/>
    <w:rsid w:val="00A2741B"/>
    <w:rsid w:val="00A275B2"/>
    <w:rsid w:val="00A27A08"/>
    <w:rsid w:val="00A30499"/>
    <w:rsid w:val="00A3308A"/>
    <w:rsid w:val="00A33F8E"/>
    <w:rsid w:val="00A34766"/>
    <w:rsid w:val="00A34DD5"/>
    <w:rsid w:val="00A352C5"/>
    <w:rsid w:val="00A37C88"/>
    <w:rsid w:val="00A40A6D"/>
    <w:rsid w:val="00A40DCB"/>
    <w:rsid w:val="00A41BDF"/>
    <w:rsid w:val="00A42316"/>
    <w:rsid w:val="00A43ECC"/>
    <w:rsid w:val="00A4495F"/>
    <w:rsid w:val="00A44B9A"/>
    <w:rsid w:val="00A469B7"/>
    <w:rsid w:val="00A470A8"/>
    <w:rsid w:val="00A50CEC"/>
    <w:rsid w:val="00A512E7"/>
    <w:rsid w:val="00A52BF5"/>
    <w:rsid w:val="00A52F93"/>
    <w:rsid w:val="00A538C0"/>
    <w:rsid w:val="00A54254"/>
    <w:rsid w:val="00A56B61"/>
    <w:rsid w:val="00A570B4"/>
    <w:rsid w:val="00A60091"/>
    <w:rsid w:val="00A60353"/>
    <w:rsid w:val="00A63A74"/>
    <w:rsid w:val="00A63C75"/>
    <w:rsid w:val="00A65218"/>
    <w:rsid w:val="00A672E1"/>
    <w:rsid w:val="00A67558"/>
    <w:rsid w:val="00A67609"/>
    <w:rsid w:val="00A67713"/>
    <w:rsid w:val="00A70427"/>
    <w:rsid w:val="00A7113A"/>
    <w:rsid w:val="00A71731"/>
    <w:rsid w:val="00A7180F"/>
    <w:rsid w:val="00A71F2C"/>
    <w:rsid w:val="00A72B50"/>
    <w:rsid w:val="00A73170"/>
    <w:rsid w:val="00A76723"/>
    <w:rsid w:val="00A76BC3"/>
    <w:rsid w:val="00A80E78"/>
    <w:rsid w:val="00A80ED6"/>
    <w:rsid w:val="00A815DF"/>
    <w:rsid w:val="00A8459C"/>
    <w:rsid w:val="00A84823"/>
    <w:rsid w:val="00A85C22"/>
    <w:rsid w:val="00A86F90"/>
    <w:rsid w:val="00A87A2A"/>
    <w:rsid w:val="00A92A9E"/>
    <w:rsid w:val="00A939FF"/>
    <w:rsid w:val="00A96A23"/>
    <w:rsid w:val="00AA00E7"/>
    <w:rsid w:val="00AA06EA"/>
    <w:rsid w:val="00AA2E2A"/>
    <w:rsid w:val="00AA4BAD"/>
    <w:rsid w:val="00AA55C1"/>
    <w:rsid w:val="00AA5DE3"/>
    <w:rsid w:val="00AA73A4"/>
    <w:rsid w:val="00AA7E6E"/>
    <w:rsid w:val="00AB158C"/>
    <w:rsid w:val="00AB3A87"/>
    <w:rsid w:val="00AB4052"/>
    <w:rsid w:val="00AB5F56"/>
    <w:rsid w:val="00AB7C77"/>
    <w:rsid w:val="00AC0259"/>
    <w:rsid w:val="00AC195D"/>
    <w:rsid w:val="00AC2231"/>
    <w:rsid w:val="00AC2557"/>
    <w:rsid w:val="00AC351B"/>
    <w:rsid w:val="00AC3BB1"/>
    <w:rsid w:val="00AC4D76"/>
    <w:rsid w:val="00AC4F84"/>
    <w:rsid w:val="00AC6DA3"/>
    <w:rsid w:val="00AC751F"/>
    <w:rsid w:val="00AC7EE1"/>
    <w:rsid w:val="00AD3979"/>
    <w:rsid w:val="00AD5712"/>
    <w:rsid w:val="00AE02B5"/>
    <w:rsid w:val="00AE2A28"/>
    <w:rsid w:val="00AE3489"/>
    <w:rsid w:val="00AE5ECD"/>
    <w:rsid w:val="00AE75CD"/>
    <w:rsid w:val="00AF3BEB"/>
    <w:rsid w:val="00AF5933"/>
    <w:rsid w:val="00AF5F38"/>
    <w:rsid w:val="00AF659A"/>
    <w:rsid w:val="00AF66EE"/>
    <w:rsid w:val="00AF6EB1"/>
    <w:rsid w:val="00AF780E"/>
    <w:rsid w:val="00B002D4"/>
    <w:rsid w:val="00B00784"/>
    <w:rsid w:val="00B00814"/>
    <w:rsid w:val="00B01D9F"/>
    <w:rsid w:val="00B048AD"/>
    <w:rsid w:val="00B05F26"/>
    <w:rsid w:val="00B06168"/>
    <w:rsid w:val="00B075E1"/>
    <w:rsid w:val="00B104C0"/>
    <w:rsid w:val="00B11562"/>
    <w:rsid w:val="00B13B09"/>
    <w:rsid w:val="00B14405"/>
    <w:rsid w:val="00B146F8"/>
    <w:rsid w:val="00B14795"/>
    <w:rsid w:val="00B16256"/>
    <w:rsid w:val="00B168D5"/>
    <w:rsid w:val="00B16A93"/>
    <w:rsid w:val="00B16B97"/>
    <w:rsid w:val="00B16DE9"/>
    <w:rsid w:val="00B17378"/>
    <w:rsid w:val="00B20D1E"/>
    <w:rsid w:val="00B20F47"/>
    <w:rsid w:val="00B21DB8"/>
    <w:rsid w:val="00B2378C"/>
    <w:rsid w:val="00B26D41"/>
    <w:rsid w:val="00B27C92"/>
    <w:rsid w:val="00B31AF0"/>
    <w:rsid w:val="00B33DDE"/>
    <w:rsid w:val="00B349B0"/>
    <w:rsid w:val="00B35CC3"/>
    <w:rsid w:val="00B40FB7"/>
    <w:rsid w:val="00B4214A"/>
    <w:rsid w:val="00B4451C"/>
    <w:rsid w:val="00B44CE8"/>
    <w:rsid w:val="00B44DB8"/>
    <w:rsid w:val="00B46DFC"/>
    <w:rsid w:val="00B4722F"/>
    <w:rsid w:val="00B4794B"/>
    <w:rsid w:val="00B47ACD"/>
    <w:rsid w:val="00B50E95"/>
    <w:rsid w:val="00B5121A"/>
    <w:rsid w:val="00B52C21"/>
    <w:rsid w:val="00B52FF7"/>
    <w:rsid w:val="00B5735E"/>
    <w:rsid w:val="00B6047D"/>
    <w:rsid w:val="00B63D50"/>
    <w:rsid w:val="00B6573D"/>
    <w:rsid w:val="00B65B7F"/>
    <w:rsid w:val="00B67006"/>
    <w:rsid w:val="00B67275"/>
    <w:rsid w:val="00B678AD"/>
    <w:rsid w:val="00B701EA"/>
    <w:rsid w:val="00B70405"/>
    <w:rsid w:val="00B71AFB"/>
    <w:rsid w:val="00B73C9D"/>
    <w:rsid w:val="00B745F9"/>
    <w:rsid w:val="00B7524E"/>
    <w:rsid w:val="00B753CB"/>
    <w:rsid w:val="00B7617C"/>
    <w:rsid w:val="00B761B5"/>
    <w:rsid w:val="00B76B8A"/>
    <w:rsid w:val="00B76F15"/>
    <w:rsid w:val="00B80785"/>
    <w:rsid w:val="00B80789"/>
    <w:rsid w:val="00B82343"/>
    <w:rsid w:val="00B8346A"/>
    <w:rsid w:val="00B84E8A"/>
    <w:rsid w:val="00B85670"/>
    <w:rsid w:val="00B8783D"/>
    <w:rsid w:val="00B904DC"/>
    <w:rsid w:val="00B9103B"/>
    <w:rsid w:val="00B91447"/>
    <w:rsid w:val="00B9296C"/>
    <w:rsid w:val="00B93592"/>
    <w:rsid w:val="00B941AF"/>
    <w:rsid w:val="00B94983"/>
    <w:rsid w:val="00B9638A"/>
    <w:rsid w:val="00B978C1"/>
    <w:rsid w:val="00BA378C"/>
    <w:rsid w:val="00BA3ED4"/>
    <w:rsid w:val="00BA4787"/>
    <w:rsid w:val="00BA5C69"/>
    <w:rsid w:val="00BA62F9"/>
    <w:rsid w:val="00BA66A8"/>
    <w:rsid w:val="00BA75A8"/>
    <w:rsid w:val="00BA7A45"/>
    <w:rsid w:val="00BB08F9"/>
    <w:rsid w:val="00BB191C"/>
    <w:rsid w:val="00BB28CC"/>
    <w:rsid w:val="00BB3081"/>
    <w:rsid w:val="00BB3B2E"/>
    <w:rsid w:val="00BB42DA"/>
    <w:rsid w:val="00BB598E"/>
    <w:rsid w:val="00BB5F77"/>
    <w:rsid w:val="00BB7B15"/>
    <w:rsid w:val="00BB7B31"/>
    <w:rsid w:val="00BC0821"/>
    <w:rsid w:val="00BC19C8"/>
    <w:rsid w:val="00BC49E3"/>
    <w:rsid w:val="00BC5723"/>
    <w:rsid w:val="00BC5F0A"/>
    <w:rsid w:val="00BC67AB"/>
    <w:rsid w:val="00BC77F3"/>
    <w:rsid w:val="00BC794B"/>
    <w:rsid w:val="00BC7AF2"/>
    <w:rsid w:val="00BD37E8"/>
    <w:rsid w:val="00BD4D3C"/>
    <w:rsid w:val="00BD5290"/>
    <w:rsid w:val="00BD6A78"/>
    <w:rsid w:val="00BD791D"/>
    <w:rsid w:val="00BE397B"/>
    <w:rsid w:val="00BE43FF"/>
    <w:rsid w:val="00BE46A2"/>
    <w:rsid w:val="00BE532C"/>
    <w:rsid w:val="00BE605D"/>
    <w:rsid w:val="00BE7741"/>
    <w:rsid w:val="00BF071D"/>
    <w:rsid w:val="00BF164D"/>
    <w:rsid w:val="00BF5363"/>
    <w:rsid w:val="00C01F68"/>
    <w:rsid w:val="00C03613"/>
    <w:rsid w:val="00C05843"/>
    <w:rsid w:val="00C05E98"/>
    <w:rsid w:val="00C1065C"/>
    <w:rsid w:val="00C1077C"/>
    <w:rsid w:val="00C10C86"/>
    <w:rsid w:val="00C1188D"/>
    <w:rsid w:val="00C11CBF"/>
    <w:rsid w:val="00C11EF2"/>
    <w:rsid w:val="00C133C8"/>
    <w:rsid w:val="00C13886"/>
    <w:rsid w:val="00C14449"/>
    <w:rsid w:val="00C15BDB"/>
    <w:rsid w:val="00C15CFE"/>
    <w:rsid w:val="00C169CB"/>
    <w:rsid w:val="00C171DD"/>
    <w:rsid w:val="00C17C38"/>
    <w:rsid w:val="00C21DEC"/>
    <w:rsid w:val="00C22F1C"/>
    <w:rsid w:val="00C24A61"/>
    <w:rsid w:val="00C24C10"/>
    <w:rsid w:val="00C24F49"/>
    <w:rsid w:val="00C265CB"/>
    <w:rsid w:val="00C2709A"/>
    <w:rsid w:val="00C27A8B"/>
    <w:rsid w:val="00C33BA9"/>
    <w:rsid w:val="00C34B31"/>
    <w:rsid w:val="00C35F16"/>
    <w:rsid w:val="00C36A21"/>
    <w:rsid w:val="00C3702F"/>
    <w:rsid w:val="00C421D4"/>
    <w:rsid w:val="00C4279E"/>
    <w:rsid w:val="00C4303B"/>
    <w:rsid w:val="00C435A7"/>
    <w:rsid w:val="00C43E75"/>
    <w:rsid w:val="00C45F6E"/>
    <w:rsid w:val="00C47AF4"/>
    <w:rsid w:val="00C47B92"/>
    <w:rsid w:val="00C5113A"/>
    <w:rsid w:val="00C515B8"/>
    <w:rsid w:val="00C51DE7"/>
    <w:rsid w:val="00C555DA"/>
    <w:rsid w:val="00C5616F"/>
    <w:rsid w:val="00C56302"/>
    <w:rsid w:val="00C56800"/>
    <w:rsid w:val="00C5712F"/>
    <w:rsid w:val="00C57701"/>
    <w:rsid w:val="00C61F30"/>
    <w:rsid w:val="00C62D1A"/>
    <w:rsid w:val="00C645B3"/>
    <w:rsid w:val="00C646E8"/>
    <w:rsid w:val="00C64E01"/>
    <w:rsid w:val="00C650ED"/>
    <w:rsid w:val="00C67E54"/>
    <w:rsid w:val="00C7128A"/>
    <w:rsid w:val="00C73363"/>
    <w:rsid w:val="00C7453D"/>
    <w:rsid w:val="00C747AE"/>
    <w:rsid w:val="00C750E9"/>
    <w:rsid w:val="00C751A4"/>
    <w:rsid w:val="00C765A3"/>
    <w:rsid w:val="00C76CD1"/>
    <w:rsid w:val="00C770AA"/>
    <w:rsid w:val="00C77CF3"/>
    <w:rsid w:val="00C80C9D"/>
    <w:rsid w:val="00C80FA9"/>
    <w:rsid w:val="00C8151B"/>
    <w:rsid w:val="00C821EA"/>
    <w:rsid w:val="00C82B5D"/>
    <w:rsid w:val="00C839F6"/>
    <w:rsid w:val="00C84FAF"/>
    <w:rsid w:val="00C850E7"/>
    <w:rsid w:val="00C860F2"/>
    <w:rsid w:val="00C86C69"/>
    <w:rsid w:val="00C86FA5"/>
    <w:rsid w:val="00C90800"/>
    <w:rsid w:val="00C90C22"/>
    <w:rsid w:val="00C90ED7"/>
    <w:rsid w:val="00C90F77"/>
    <w:rsid w:val="00C912C2"/>
    <w:rsid w:val="00C92338"/>
    <w:rsid w:val="00C927D0"/>
    <w:rsid w:val="00C93866"/>
    <w:rsid w:val="00C953FB"/>
    <w:rsid w:val="00C96BCE"/>
    <w:rsid w:val="00C97EC2"/>
    <w:rsid w:val="00CA1220"/>
    <w:rsid w:val="00CA1590"/>
    <w:rsid w:val="00CA2056"/>
    <w:rsid w:val="00CA3633"/>
    <w:rsid w:val="00CA75D1"/>
    <w:rsid w:val="00CA7E56"/>
    <w:rsid w:val="00CB23BC"/>
    <w:rsid w:val="00CB29B7"/>
    <w:rsid w:val="00CB527E"/>
    <w:rsid w:val="00CB62FA"/>
    <w:rsid w:val="00CB6535"/>
    <w:rsid w:val="00CC0112"/>
    <w:rsid w:val="00CC0BA8"/>
    <w:rsid w:val="00CC0C23"/>
    <w:rsid w:val="00CC26A3"/>
    <w:rsid w:val="00CC2D79"/>
    <w:rsid w:val="00CC3CEB"/>
    <w:rsid w:val="00CC4F51"/>
    <w:rsid w:val="00CC66F8"/>
    <w:rsid w:val="00CD32D9"/>
    <w:rsid w:val="00CD3EDA"/>
    <w:rsid w:val="00CD41E4"/>
    <w:rsid w:val="00CD5E13"/>
    <w:rsid w:val="00CD69E2"/>
    <w:rsid w:val="00CD706C"/>
    <w:rsid w:val="00CE2263"/>
    <w:rsid w:val="00CE25CD"/>
    <w:rsid w:val="00CE2675"/>
    <w:rsid w:val="00CE2E18"/>
    <w:rsid w:val="00CE3804"/>
    <w:rsid w:val="00CE73C9"/>
    <w:rsid w:val="00CF00F0"/>
    <w:rsid w:val="00CF1062"/>
    <w:rsid w:val="00CF13EF"/>
    <w:rsid w:val="00CF2D80"/>
    <w:rsid w:val="00CF3D12"/>
    <w:rsid w:val="00CF4D27"/>
    <w:rsid w:val="00CF58A1"/>
    <w:rsid w:val="00CF6BBF"/>
    <w:rsid w:val="00D006FA"/>
    <w:rsid w:val="00D01026"/>
    <w:rsid w:val="00D042F7"/>
    <w:rsid w:val="00D046EA"/>
    <w:rsid w:val="00D04E33"/>
    <w:rsid w:val="00D0588C"/>
    <w:rsid w:val="00D05DC4"/>
    <w:rsid w:val="00D05F3E"/>
    <w:rsid w:val="00D07F7D"/>
    <w:rsid w:val="00D10297"/>
    <w:rsid w:val="00D120BA"/>
    <w:rsid w:val="00D12C03"/>
    <w:rsid w:val="00D13767"/>
    <w:rsid w:val="00D13B90"/>
    <w:rsid w:val="00D1498F"/>
    <w:rsid w:val="00D14A68"/>
    <w:rsid w:val="00D15C7B"/>
    <w:rsid w:val="00D17BED"/>
    <w:rsid w:val="00D20BFB"/>
    <w:rsid w:val="00D226FA"/>
    <w:rsid w:val="00D26F7F"/>
    <w:rsid w:val="00D303CA"/>
    <w:rsid w:val="00D313A6"/>
    <w:rsid w:val="00D319E5"/>
    <w:rsid w:val="00D3372F"/>
    <w:rsid w:val="00D35169"/>
    <w:rsid w:val="00D361BD"/>
    <w:rsid w:val="00D3658C"/>
    <w:rsid w:val="00D369FC"/>
    <w:rsid w:val="00D37954"/>
    <w:rsid w:val="00D40293"/>
    <w:rsid w:val="00D41344"/>
    <w:rsid w:val="00D424AC"/>
    <w:rsid w:val="00D42764"/>
    <w:rsid w:val="00D4328A"/>
    <w:rsid w:val="00D43D91"/>
    <w:rsid w:val="00D44056"/>
    <w:rsid w:val="00D47503"/>
    <w:rsid w:val="00D47744"/>
    <w:rsid w:val="00D51269"/>
    <w:rsid w:val="00D519F9"/>
    <w:rsid w:val="00D51D98"/>
    <w:rsid w:val="00D525B8"/>
    <w:rsid w:val="00D52A36"/>
    <w:rsid w:val="00D52D6F"/>
    <w:rsid w:val="00D54016"/>
    <w:rsid w:val="00D548E6"/>
    <w:rsid w:val="00D55A35"/>
    <w:rsid w:val="00D55C88"/>
    <w:rsid w:val="00D60EE4"/>
    <w:rsid w:val="00D61E12"/>
    <w:rsid w:val="00D622C3"/>
    <w:rsid w:val="00D6336E"/>
    <w:rsid w:val="00D70023"/>
    <w:rsid w:val="00D70FBD"/>
    <w:rsid w:val="00D713A2"/>
    <w:rsid w:val="00D72B16"/>
    <w:rsid w:val="00D73CCE"/>
    <w:rsid w:val="00D77D57"/>
    <w:rsid w:val="00D853CC"/>
    <w:rsid w:val="00D858FB"/>
    <w:rsid w:val="00D85D41"/>
    <w:rsid w:val="00D9041A"/>
    <w:rsid w:val="00D90867"/>
    <w:rsid w:val="00D909CE"/>
    <w:rsid w:val="00D93679"/>
    <w:rsid w:val="00D93C9B"/>
    <w:rsid w:val="00D950A3"/>
    <w:rsid w:val="00D95924"/>
    <w:rsid w:val="00DA028C"/>
    <w:rsid w:val="00DA05AD"/>
    <w:rsid w:val="00DA1C7D"/>
    <w:rsid w:val="00DA30DB"/>
    <w:rsid w:val="00DA3ADC"/>
    <w:rsid w:val="00DA4ACD"/>
    <w:rsid w:val="00DA515F"/>
    <w:rsid w:val="00DA5F4A"/>
    <w:rsid w:val="00DB122F"/>
    <w:rsid w:val="00DB1E3C"/>
    <w:rsid w:val="00DB2C29"/>
    <w:rsid w:val="00DB3673"/>
    <w:rsid w:val="00DB42BD"/>
    <w:rsid w:val="00DB6C24"/>
    <w:rsid w:val="00DB7703"/>
    <w:rsid w:val="00DC3C60"/>
    <w:rsid w:val="00DC3D1C"/>
    <w:rsid w:val="00DC44AE"/>
    <w:rsid w:val="00DC4826"/>
    <w:rsid w:val="00DC56D9"/>
    <w:rsid w:val="00DC7D12"/>
    <w:rsid w:val="00DD07CE"/>
    <w:rsid w:val="00DD1CDC"/>
    <w:rsid w:val="00DD52C5"/>
    <w:rsid w:val="00DD57FD"/>
    <w:rsid w:val="00DD5B52"/>
    <w:rsid w:val="00DD649C"/>
    <w:rsid w:val="00DD7995"/>
    <w:rsid w:val="00DE081B"/>
    <w:rsid w:val="00DE155F"/>
    <w:rsid w:val="00DE3409"/>
    <w:rsid w:val="00DE42EB"/>
    <w:rsid w:val="00DE4D6B"/>
    <w:rsid w:val="00DE7EC4"/>
    <w:rsid w:val="00DF0E57"/>
    <w:rsid w:val="00DF32E2"/>
    <w:rsid w:val="00DF43C5"/>
    <w:rsid w:val="00DF4F11"/>
    <w:rsid w:val="00E00CB1"/>
    <w:rsid w:val="00E02054"/>
    <w:rsid w:val="00E02AB8"/>
    <w:rsid w:val="00E02ECC"/>
    <w:rsid w:val="00E043F6"/>
    <w:rsid w:val="00E047DD"/>
    <w:rsid w:val="00E07AA9"/>
    <w:rsid w:val="00E07BA5"/>
    <w:rsid w:val="00E07E37"/>
    <w:rsid w:val="00E10492"/>
    <w:rsid w:val="00E1071F"/>
    <w:rsid w:val="00E13994"/>
    <w:rsid w:val="00E143D5"/>
    <w:rsid w:val="00E1501E"/>
    <w:rsid w:val="00E158E2"/>
    <w:rsid w:val="00E165F9"/>
    <w:rsid w:val="00E17DFC"/>
    <w:rsid w:val="00E203C9"/>
    <w:rsid w:val="00E209AC"/>
    <w:rsid w:val="00E20DAE"/>
    <w:rsid w:val="00E213F7"/>
    <w:rsid w:val="00E215A9"/>
    <w:rsid w:val="00E2346C"/>
    <w:rsid w:val="00E24023"/>
    <w:rsid w:val="00E24E33"/>
    <w:rsid w:val="00E262F8"/>
    <w:rsid w:val="00E2704E"/>
    <w:rsid w:val="00E27B08"/>
    <w:rsid w:val="00E33917"/>
    <w:rsid w:val="00E3420F"/>
    <w:rsid w:val="00E3465B"/>
    <w:rsid w:val="00E36E0F"/>
    <w:rsid w:val="00E4269B"/>
    <w:rsid w:val="00E430BA"/>
    <w:rsid w:val="00E47D22"/>
    <w:rsid w:val="00E50E48"/>
    <w:rsid w:val="00E51820"/>
    <w:rsid w:val="00E51F3D"/>
    <w:rsid w:val="00E529CB"/>
    <w:rsid w:val="00E532A0"/>
    <w:rsid w:val="00E5430C"/>
    <w:rsid w:val="00E600B6"/>
    <w:rsid w:val="00E64878"/>
    <w:rsid w:val="00E658B6"/>
    <w:rsid w:val="00E7006B"/>
    <w:rsid w:val="00E70AA4"/>
    <w:rsid w:val="00E7712A"/>
    <w:rsid w:val="00E8083B"/>
    <w:rsid w:val="00E80DD7"/>
    <w:rsid w:val="00E80DF8"/>
    <w:rsid w:val="00E815FB"/>
    <w:rsid w:val="00E8201F"/>
    <w:rsid w:val="00E827BF"/>
    <w:rsid w:val="00E87C2A"/>
    <w:rsid w:val="00E9086C"/>
    <w:rsid w:val="00E919F2"/>
    <w:rsid w:val="00E92DF9"/>
    <w:rsid w:val="00E95310"/>
    <w:rsid w:val="00E95834"/>
    <w:rsid w:val="00E9594D"/>
    <w:rsid w:val="00E96392"/>
    <w:rsid w:val="00E968B2"/>
    <w:rsid w:val="00E96EE9"/>
    <w:rsid w:val="00E972DB"/>
    <w:rsid w:val="00EA07F5"/>
    <w:rsid w:val="00EA0A66"/>
    <w:rsid w:val="00EA2275"/>
    <w:rsid w:val="00EA228F"/>
    <w:rsid w:val="00EA2C17"/>
    <w:rsid w:val="00EA33B2"/>
    <w:rsid w:val="00EA60CB"/>
    <w:rsid w:val="00EA6C30"/>
    <w:rsid w:val="00EA728C"/>
    <w:rsid w:val="00EA7B11"/>
    <w:rsid w:val="00EB0B53"/>
    <w:rsid w:val="00EB1A85"/>
    <w:rsid w:val="00EB34D3"/>
    <w:rsid w:val="00EB3CFD"/>
    <w:rsid w:val="00EB4F6A"/>
    <w:rsid w:val="00EC0150"/>
    <w:rsid w:val="00EC0A6A"/>
    <w:rsid w:val="00EC246A"/>
    <w:rsid w:val="00EC44CE"/>
    <w:rsid w:val="00EC7163"/>
    <w:rsid w:val="00EC779B"/>
    <w:rsid w:val="00EC7809"/>
    <w:rsid w:val="00ED01A1"/>
    <w:rsid w:val="00ED2EC0"/>
    <w:rsid w:val="00ED34FF"/>
    <w:rsid w:val="00ED3F13"/>
    <w:rsid w:val="00ED432A"/>
    <w:rsid w:val="00ED4C3A"/>
    <w:rsid w:val="00EE003A"/>
    <w:rsid w:val="00EE0482"/>
    <w:rsid w:val="00EE1E67"/>
    <w:rsid w:val="00EE32FC"/>
    <w:rsid w:val="00EE3FC3"/>
    <w:rsid w:val="00EE46DB"/>
    <w:rsid w:val="00EE484A"/>
    <w:rsid w:val="00EE7D44"/>
    <w:rsid w:val="00EE7D9B"/>
    <w:rsid w:val="00EF15B0"/>
    <w:rsid w:val="00EF39FE"/>
    <w:rsid w:val="00EF6D0C"/>
    <w:rsid w:val="00EF7762"/>
    <w:rsid w:val="00F0027A"/>
    <w:rsid w:val="00F03038"/>
    <w:rsid w:val="00F034E9"/>
    <w:rsid w:val="00F03875"/>
    <w:rsid w:val="00F03B84"/>
    <w:rsid w:val="00F042B3"/>
    <w:rsid w:val="00F0517A"/>
    <w:rsid w:val="00F062F9"/>
    <w:rsid w:val="00F06ED8"/>
    <w:rsid w:val="00F075AE"/>
    <w:rsid w:val="00F101C7"/>
    <w:rsid w:val="00F103A0"/>
    <w:rsid w:val="00F111D6"/>
    <w:rsid w:val="00F11654"/>
    <w:rsid w:val="00F11A88"/>
    <w:rsid w:val="00F134A1"/>
    <w:rsid w:val="00F14AE6"/>
    <w:rsid w:val="00F164C5"/>
    <w:rsid w:val="00F16657"/>
    <w:rsid w:val="00F17292"/>
    <w:rsid w:val="00F21821"/>
    <w:rsid w:val="00F256A6"/>
    <w:rsid w:val="00F275C9"/>
    <w:rsid w:val="00F32032"/>
    <w:rsid w:val="00F33BBB"/>
    <w:rsid w:val="00F34CD7"/>
    <w:rsid w:val="00F35651"/>
    <w:rsid w:val="00F35D33"/>
    <w:rsid w:val="00F40B3E"/>
    <w:rsid w:val="00F42977"/>
    <w:rsid w:val="00F45723"/>
    <w:rsid w:val="00F4769F"/>
    <w:rsid w:val="00F5048C"/>
    <w:rsid w:val="00F50805"/>
    <w:rsid w:val="00F50F15"/>
    <w:rsid w:val="00F5103F"/>
    <w:rsid w:val="00F5249E"/>
    <w:rsid w:val="00F528FB"/>
    <w:rsid w:val="00F53A49"/>
    <w:rsid w:val="00F54E19"/>
    <w:rsid w:val="00F55216"/>
    <w:rsid w:val="00F55611"/>
    <w:rsid w:val="00F55666"/>
    <w:rsid w:val="00F55DE8"/>
    <w:rsid w:val="00F56971"/>
    <w:rsid w:val="00F576AF"/>
    <w:rsid w:val="00F60010"/>
    <w:rsid w:val="00F60263"/>
    <w:rsid w:val="00F607FF"/>
    <w:rsid w:val="00F60980"/>
    <w:rsid w:val="00F63516"/>
    <w:rsid w:val="00F649F7"/>
    <w:rsid w:val="00F652A4"/>
    <w:rsid w:val="00F67BDC"/>
    <w:rsid w:val="00F71F11"/>
    <w:rsid w:val="00F72075"/>
    <w:rsid w:val="00F72DA5"/>
    <w:rsid w:val="00F7366D"/>
    <w:rsid w:val="00F749DE"/>
    <w:rsid w:val="00F75628"/>
    <w:rsid w:val="00F75D62"/>
    <w:rsid w:val="00F77E2D"/>
    <w:rsid w:val="00F80140"/>
    <w:rsid w:val="00F8280D"/>
    <w:rsid w:val="00F832C5"/>
    <w:rsid w:val="00F83593"/>
    <w:rsid w:val="00F83F04"/>
    <w:rsid w:val="00F842DF"/>
    <w:rsid w:val="00F8699E"/>
    <w:rsid w:val="00F90599"/>
    <w:rsid w:val="00F921A8"/>
    <w:rsid w:val="00F942EC"/>
    <w:rsid w:val="00F94946"/>
    <w:rsid w:val="00F9703D"/>
    <w:rsid w:val="00F97EB5"/>
    <w:rsid w:val="00FA00D2"/>
    <w:rsid w:val="00FA03B7"/>
    <w:rsid w:val="00FA0D97"/>
    <w:rsid w:val="00FA1133"/>
    <w:rsid w:val="00FA2FCC"/>
    <w:rsid w:val="00FA45A8"/>
    <w:rsid w:val="00FA48CF"/>
    <w:rsid w:val="00FA4AF9"/>
    <w:rsid w:val="00FA59A4"/>
    <w:rsid w:val="00FA698A"/>
    <w:rsid w:val="00FA7329"/>
    <w:rsid w:val="00FA7564"/>
    <w:rsid w:val="00FA7C36"/>
    <w:rsid w:val="00FB0F26"/>
    <w:rsid w:val="00FB0FE7"/>
    <w:rsid w:val="00FB24BD"/>
    <w:rsid w:val="00FB61F0"/>
    <w:rsid w:val="00FB623D"/>
    <w:rsid w:val="00FB6310"/>
    <w:rsid w:val="00FB6D7D"/>
    <w:rsid w:val="00FC0231"/>
    <w:rsid w:val="00FC02E7"/>
    <w:rsid w:val="00FC0E43"/>
    <w:rsid w:val="00FC19C0"/>
    <w:rsid w:val="00FC2BC3"/>
    <w:rsid w:val="00FC456C"/>
    <w:rsid w:val="00FC5422"/>
    <w:rsid w:val="00FC5797"/>
    <w:rsid w:val="00FC630A"/>
    <w:rsid w:val="00FC63A4"/>
    <w:rsid w:val="00FC6999"/>
    <w:rsid w:val="00FC7984"/>
    <w:rsid w:val="00FD4733"/>
    <w:rsid w:val="00FD6519"/>
    <w:rsid w:val="00FD7AFF"/>
    <w:rsid w:val="00FE12D4"/>
    <w:rsid w:val="00FE1A0C"/>
    <w:rsid w:val="00FE2A50"/>
    <w:rsid w:val="00FE39B5"/>
    <w:rsid w:val="00FE5259"/>
    <w:rsid w:val="00FE56EB"/>
    <w:rsid w:val="00FE6B45"/>
    <w:rsid w:val="00FF07C8"/>
    <w:rsid w:val="00FF0F71"/>
    <w:rsid w:val="00FF16A6"/>
    <w:rsid w:val="00FF2A00"/>
    <w:rsid w:val="00FF708E"/>
    <w:rsid w:val="00FF77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DBA8C"/>
  <w15:chartTrackingRefBased/>
  <w15:docId w15:val="{56BADB66-5155-4D75-8B04-874EE540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E6167" w:themeColor="text1"/>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99"/>
    <w:pPr>
      <w:spacing w:line="360" w:lineRule="auto"/>
      <w:jc w:val="both"/>
    </w:pPr>
    <w:rPr>
      <w:sz w:val="22"/>
      <w:szCs w:val="22"/>
    </w:rPr>
  </w:style>
  <w:style w:type="paragraph" w:styleId="Heading1">
    <w:name w:val="heading 1"/>
    <w:basedOn w:val="Normal"/>
    <w:next w:val="Normal"/>
    <w:link w:val="Heading1Char"/>
    <w:uiPriority w:val="9"/>
    <w:qFormat/>
    <w:rsid w:val="00AB7C77"/>
    <w:pPr>
      <w:keepNext/>
      <w:keepLines/>
      <w:numPr>
        <w:numId w:val="3"/>
      </w:numPr>
      <w:spacing w:before="240" w:after="240"/>
      <w:ind w:left="431" w:hanging="431"/>
      <w:outlineLvl w:val="0"/>
    </w:pPr>
    <w:rPr>
      <w:rFonts w:asciiTheme="majorHAnsi" w:eastAsiaTheme="majorEastAsia" w:hAnsiTheme="majorHAnsi" w:cstheme="majorBidi"/>
      <w:b/>
      <w:color w:val="5F3451" w:themeColor="accent5"/>
      <w:sz w:val="28"/>
      <w:szCs w:val="32"/>
    </w:rPr>
  </w:style>
  <w:style w:type="paragraph" w:styleId="Heading2">
    <w:name w:val="heading 2"/>
    <w:basedOn w:val="Heading1"/>
    <w:next w:val="Normal"/>
    <w:link w:val="Heading2Char"/>
    <w:uiPriority w:val="9"/>
    <w:unhideWhenUsed/>
    <w:qFormat/>
    <w:rsid w:val="00AB7C77"/>
    <w:pPr>
      <w:numPr>
        <w:ilvl w:val="1"/>
      </w:numPr>
      <w:outlineLvl w:val="1"/>
    </w:pPr>
    <w:rPr>
      <w:rFonts w:ascii="Arial" w:eastAsia="Times New Roman" w:hAnsi="Arial" w:cs="Arial"/>
      <w:b w:val="0"/>
      <w:bCs/>
      <w:color w:val="8E9300" w:themeColor="accent2"/>
      <w:sz w:val="24"/>
      <w:szCs w:val="24"/>
    </w:rPr>
  </w:style>
  <w:style w:type="paragraph" w:styleId="Heading3">
    <w:name w:val="heading 3"/>
    <w:basedOn w:val="BodyA"/>
    <w:next w:val="Normal"/>
    <w:link w:val="Heading3Char"/>
    <w:uiPriority w:val="9"/>
    <w:unhideWhenUsed/>
    <w:qFormat/>
    <w:rsid w:val="00994A5A"/>
    <w:pPr>
      <w:numPr>
        <w:ilvl w:val="2"/>
        <w:numId w:val="3"/>
      </w:numPr>
      <w:spacing w:line="360" w:lineRule="auto"/>
      <w:outlineLvl w:val="2"/>
    </w:pPr>
    <w:rPr>
      <w:rFonts w:ascii="Arial" w:eastAsia="Times New Roman" w:hAnsi="Arial" w:cs="Arial"/>
      <w:b/>
      <w:bCs/>
      <w:color w:val="AEA300" w:themeColor="accent3"/>
      <w:sz w:val="22"/>
      <w:szCs w:val="22"/>
      <w:bdr w:val="none" w:sz="0" w:space="0" w:color="auto"/>
      <w:lang w:val="en-ZA"/>
    </w:rPr>
  </w:style>
  <w:style w:type="paragraph" w:styleId="Heading4">
    <w:name w:val="heading 4"/>
    <w:basedOn w:val="Normal"/>
    <w:next w:val="Normal"/>
    <w:link w:val="Heading4Char"/>
    <w:uiPriority w:val="9"/>
    <w:unhideWhenUsed/>
    <w:qFormat/>
    <w:rsid w:val="00EE0482"/>
    <w:pPr>
      <w:keepNext/>
      <w:keepLines/>
      <w:numPr>
        <w:ilvl w:val="3"/>
        <w:numId w:val="3"/>
      </w:numPr>
      <w:spacing w:before="40" w:after="0"/>
      <w:outlineLvl w:val="3"/>
    </w:pPr>
    <w:rPr>
      <w:rFonts w:asciiTheme="majorHAnsi" w:eastAsiaTheme="majorEastAsia" w:hAnsiTheme="majorHAnsi" w:cstheme="majorBidi"/>
      <w:i/>
      <w:iCs/>
      <w:color w:val="8E9300" w:themeColor="accent2"/>
    </w:rPr>
  </w:style>
  <w:style w:type="paragraph" w:styleId="Heading5">
    <w:name w:val="heading 5"/>
    <w:basedOn w:val="Normal"/>
    <w:next w:val="Normal"/>
    <w:link w:val="Heading5Char"/>
    <w:uiPriority w:val="9"/>
    <w:unhideWhenUsed/>
    <w:qFormat/>
    <w:rsid w:val="007C1673"/>
    <w:pPr>
      <w:keepNext/>
      <w:keepLines/>
      <w:numPr>
        <w:ilvl w:val="4"/>
        <w:numId w:val="3"/>
      </w:numPr>
      <w:spacing w:before="40" w:after="0"/>
      <w:outlineLvl w:val="4"/>
    </w:pPr>
    <w:rPr>
      <w:rFonts w:asciiTheme="majorHAnsi" w:eastAsiaTheme="majorEastAsia" w:hAnsiTheme="majorHAnsi" w:cstheme="majorBidi"/>
      <w:color w:val="95A502" w:themeColor="accent1" w:themeShade="BF"/>
    </w:rPr>
  </w:style>
  <w:style w:type="paragraph" w:styleId="Heading6">
    <w:name w:val="heading 6"/>
    <w:basedOn w:val="Normal"/>
    <w:next w:val="Normal"/>
    <w:link w:val="Heading6Char"/>
    <w:uiPriority w:val="9"/>
    <w:semiHidden/>
    <w:unhideWhenUsed/>
    <w:qFormat/>
    <w:rsid w:val="007C1673"/>
    <w:pPr>
      <w:keepNext/>
      <w:keepLines/>
      <w:numPr>
        <w:ilvl w:val="5"/>
        <w:numId w:val="3"/>
      </w:numPr>
      <w:spacing w:before="40" w:after="0"/>
      <w:outlineLvl w:val="5"/>
    </w:pPr>
    <w:rPr>
      <w:rFonts w:asciiTheme="majorHAnsi" w:eastAsiaTheme="majorEastAsia" w:hAnsiTheme="majorHAnsi" w:cstheme="majorBidi"/>
      <w:color w:val="636D01" w:themeColor="accent1" w:themeShade="7F"/>
    </w:rPr>
  </w:style>
  <w:style w:type="paragraph" w:styleId="Heading7">
    <w:name w:val="heading 7"/>
    <w:basedOn w:val="Normal"/>
    <w:next w:val="Normal"/>
    <w:link w:val="Heading7Char"/>
    <w:uiPriority w:val="9"/>
    <w:semiHidden/>
    <w:unhideWhenUsed/>
    <w:qFormat/>
    <w:rsid w:val="007C1673"/>
    <w:pPr>
      <w:keepNext/>
      <w:keepLines/>
      <w:numPr>
        <w:ilvl w:val="6"/>
        <w:numId w:val="3"/>
      </w:numPr>
      <w:spacing w:before="40" w:after="0"/>
      <w:outlineLvl w:val="6"/>
    </w:pPr>
    <w:rPr>
      <w:rFonts w:asciiTheme="majorHAnsi" w:eastAsiaTheme="majorEastAsia" w:hAnsiTheme="majorHAnsi" w:cstheme="majorBidi"/>
      <w:i/>
      <w:iCs/>
      <w:color w:val="636D01" w:themeColor="accent1" w:themeShade="7F"/>
    </w:rPr>
  </w:style>
  <w:style w:type="paragraph" w:styleId="Heading8">
    <w:name w:val="heading 8"/>
    <w:basedOn w:val="Normal"/>
    <w:next w:val="Normal"/>
    <w:link w:val="Heading8Char"/>
    <w:uiPriority w:val="9"/>
    <w:semiHidden/>
    <w:unhideWhenUsed/>
    <w:qFormat/>
    <w:rsid w:val="007C1673"/>
    <w:pPr>
      <w:keepNext/>
      <w:keepLines/>
      <w:numPr>
        <w:ilvl w:val="7"/>
        <w:numId w:val="3"/>
      </w:numPr>
      <w:spacing w:before="40" w:after="0"/>
      <w:outlineLvl w:val="7"/>
    </w:pPr>
    <w:rPr>
      <w:rFonts w:asciiTheme="majorHAnsi" w:eastAsiaTheme="majorEastAsia" w:hAnsiTheme="majorHAnsi" w:cstheme="majorBidi"/>
      <w:color w:val="74787F" w:themeColor="text1" w:themeTint="D8"/>
      <w:sz w:val="21"/>
      <w:szCs w:val="21"/>
    </w:rPr>
  </w:style>
  <w:style w:type="paragraph" w:styleId="Heading9">
    <w:name w:val="heading 9"/>
    <w:basedOn w:val="Normal"/>
    <w:next w:val="Normal"/>
    <w:link w:val="Heading9Char"/>
    <w:uiPriority w:val="9"/>
    <w:semiHidden/>
    <w:unhideWhenUsed/>
    <w:qFormat/>
    <w:rsid w:val="007C1673"/>
    <w:pPr>
      <w:keepNext/>
      <w:keepLines/>
      <w:numPr>
        <w:ilvl w:val="8"/>
        <w:numId w:val="3"/>
      </w:numPr>
      <w:spacing w:before="40" w:after="0"/>
      <w:outlineLvl w:val="8"/>
    </w:pPr>
    <w:rPr>
      <w:rFonts w:asciiTheme="majorHAnsi" w:eastAsiaTheme="majorEastAsia" w:hAnsiTheme="majorHAnsi" w:cstheme="majorBidi"/>
      <w:i/>
      <w:iCs/>
      <w:color w:val="74787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C77"/>
    <w:rPr>
      <w:rFonts w:asciiTheme="majorHAnsi" w:eastAsiaTheme="majorEastAsia" w:hAnsiTheme="majorHAnsi" w:cstheme="majorBidi"/>
      <w:b/>
      <w:color w:val="5F3451" w:themeColor="accent5"/>
      <w:sz w:val="28"/>
      <w:szCs w:val="32"/>
    </w:rPr>
  </w:style>
  <w:style w:type="character" w:customStyle="1" w:styleId="Heading2Char">
    <w:name w:val="Heading 2 Char"/>
    <w:basedOn w:val="DefaultParagraphFont"/>
    <w:link w:val="Heading2"/>
    <w:uiPriority w:val="9"/>
    <w:rsid w:val="00AB7C77"/>
    <w:rPr>
      <w:rFonts w:ascii="Arial" w:eastAsia="Times New Roman" w:hAnsi="Arial" w:cs="Arial"/>
      <w:bCs/>
      <w:color w:val="8E9300" w:themeColor="accent2"/>
      <w:sz w:val="24"/>
      <w:szCs w:val="24"/>
    </w:rPr>
  </w:style>
  <w:style w:type="table" w:styleId="TableGrid">
    <w:name w:val="Table Grid"/>
    <w:aliases w:val="Deloitte"/>
    <w:basedOn w:val="TableNormal"/>
    <w:uiPriority w:val="39"/>
    <w:rsid w:val="007C1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2">
    <w:name w:val="List Table 3 Accent 2"/>
    <w:basedOn w:val="TableGrid"/>
    <w:uiPriority w:val="48"/>
    <w:rsid w:val="003C70F8"/>
    <w:tblPr>
      <w:tblStyleRowBandSize w:val="1"/>
      <w:tblStyleColBandSize w:val="1"/>
      <w:tblBorders>
        <w:top w:val="single" w:sz="4" w:space="0" w:color="74777F"/>
        <w:left w:val="single" w:sz="4" w:space="0" w:color="74777F"/>
        <w:bottom w:val="single" w:sz="4" w:space="0" w:color="74777F"/>
        <w:right w:val="single" w:sz="4" w:space="0" w:color="74777F"/>
        <w:insideH w:val="single" w:sz="4" w:space="0" w:color="74777F"/>
        <w:insideV w:val="single" w:sz="4" w:space="0" w:color="74777F"/>
      </w:tblBorders>
      <w:tblCellMar>
        <w:top w:w="57" w:type="dxa"/>
        <w:bottom w:w="57" w:type="dxa"/>
      </w:tblCellMar>
    </w:tblPr>
    <w:tblStylePr w:type="firstRow">
      <w:rPr>
        <w:b/>
        <w:bCs/>
        <w:color w:val="FFFFFF" w:themeColor="background1"/>
      </w:rPr>
      <w:tblPr/>
      <w:tcPr>
        <w:shd w:val="clear" w:color="auto" w:fill="8E9300" w:themeFill="accent2"/>
      </w:tcPr>
    </w:tblStylePr>
    <w:tblStylePr w:type="lastRow">
      <w:rPr>
        <w:b/>
        <w:bCs/>
      </w:rPr>
      <w:tblPr/>
      <w:tcPr>
        <w:tcBorders>
          <w:top w:val="double" w:sz="4" w:space="0" w:color="8E93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9300" w:themeColor="accent2"/>
          <w:right w:val="single" w:sz="4" w:space="0" w:color="8E9300" w:themeColor="accent2"/>
        </w:tcBorders>
      </w:tcPr>
    </w:tblStylePr>
    <w:tblStylePr w:type="band1Horz">
      <w:tblPr/>
      <w:tcPr>
        <w:tcBorders>
          <w:top w:val="single" w:sz="4" w:space="0" w:color="8E9300" w:themeColor="accent2"/>
          <w:bottom w:val="single" w:sz="4" w:space="0" w:color="8E93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9300" w:themeColor="accent2"/>
          <w:left w:val="nil"/>
        </w:tcBorders>
      </w:tcPr>
    </w:tblStylePr>
    <w:tblStylePr w:type="swCell">
      <w:tblPr/>
      <w:tcPr>
        <w:tcBorders>
          <w:top w:val="double" w:sz="4" w:space="0" w:color="8E9300" w:themeColor="accent2"/>
          <w:right w:val="nil"/>
        </w:tcBorders>
      </w:tcPr>
    </w:tblStylePr>
  </w:style>
  <w:style w:type="paragraph" w:styleId="NoSpacing">
    <w:name w:val="No Spacing"/>
    <w:uiPriority w:val="1"/>
    <w:qFormat/>
    <w:rsid w:val="007C1673"/>
    <w:pPr>
      <w:spacing w:after="0" w:line="240" w:lineRule="auto"/>
    </w:pPr>
  </w:style>
  <w:style w:type="character" w:customStyle="1" w:styleId="Heading3Char">
    <w:name w:val="Heading 3 Char"/>
    <w:basedOn w:val="DefaultParagraphFont"/>
    <w:link w:val="Heading3"/>
    <w:uiPriority w:val="9"/>
    <w:rsid w:val="00994A5A"/>
    <w:rPr>
      <w:rFonts w:ascii="Arial" w:eastAsia="Times New Roman" w:hAnsi="Arial" w:cs="Arial"/>
      <w:b/>
      <w:bCs/>
      <w:color w:val="AEA300" w:themeColor="accent3"/>
      <w:sz w:val="22"/>
      <w:szCs w:val="22"/>
      <w:u w:color="000000"/>
    </w:rPr>
  </w:style>
  <w:style w:type="character" w:customStyle="1" w:styleId="Heading4Char">
    <w:name w:val="Heading 4 Char"/>
    <w:basedOn w:val="DefaultParagraphFont"/>
    <w:link w:val="Heading4"/>
    <w:uiPriority w:val="9"/>
    <w:rsid w:val="00EE0482"/>
    <w:rPr>
      <w:rFonts w:asciiTheme="majorHAnsi" w:eastAsiaTheme="majorEastAsia" w:hAnsiTheme="majorHAnsi" w:cstheme="majorBidi"/>
      <w:i/>
      <w:iCs/>
      <w:color w:val="8E9300" w:themeColor="accent2"/>
      <w:sz w:val="22"/>
      <w:szCs w:val="22"/>
    </w:rPr>
  </w:style>
  <w:style w:type="character" w:customStyle="1" w:styleId="Heading5Char">
    <w:name w:val="Heading 5 Char"/>
    <w:basedOn w:val="DefaultParagraphFont"/>
    <w:link w:val="Heading5"/>
    <w:uiPriority w:val="9"/>
    <w:rsid w:val="007C1673"/>
    <w:rPr>
      <w:rFonts w:asciiTheme="majorHAnsi" w:eastAsiaTheme="majorEastAsia" w:hAnsiTheme="majorHAnsi" w:cstheme="majorBidi"/>
      <w:color w:val="95A502" w:themeColor="accent1" w:themeShade="BF"/>
      <w:sz w:val="22"/>
      <w:szCs w:val="22"/>
    </w:rPr>
  </w:style>
  <w:style w:type="character" w:customStyle="1" w:styleId="Heading6Char">
    <w:name w:val="Heading 6 Char"/>
    <w:basedOn w:val="DefaultParagraphFont"/>
    <w:link w:val="Heading6"/>
    <w:uiPriority w:val="9"/>
    <w:semiHidden/>
    <w:rsid w:val="007C1673"/>
    <w:rPr>
      <w:rFonts w:asciiTheme="majorHAnsi" w:eastAsiaTheme="majorEastAsia" w:hAnsiTheme="majorHAnsi" w:cstheme="majorBidi"/>
      <w:color w:val="636D01" w:themeColor="accent1" w:themeShade="7F"/>
      <w:sz w:val="22"/>
      <w:szCs w:val="22"/>
    </w:rPr>
  </w:style>
  <w:style w:type="character" w:customStyle="1" w:styleId="Heading7Char">
    <w:name w:val="Heading 7 Char"/>
    <w:basedOn w:val="DefaultParagraphFont"/>
    <w:link w:val="Heading7"/>
    <w:uiPriority w:val="9"/>
    <w:semiHidden/>
    <w:rsid w:val="007C1673"/>
    <w:rPr>
      <w:rFonts w:asciiTheme="majorHAnsi" w:eastAsiaTheme="majorEastAsia" w:hAnsiTheme="majorHAnsi" w:cstheme="majorBidi"/>
      <w:i/>
      <w:iCs/>
      <w:color w:val="636D01" w:themeColor="accent1" w:themeShade="7F"/>
      <w:sz w:val="22"/>
      <w:szCs w:val="22"/>
    </w:rPr>
  </w:style>
  <w:style w:type="character" w:customStyle="1" w:styleId="Heading8Char">
    <w:name w:val="Heading 8 Char"/>
    <w:basedOn w:val="DefaultParagraphFont"/>
    <w:link w:val="Heading8"/>
    <w:uiPriority w:val="9"/>
    <w:semiHidden/>
    <w:rsid w:val="007C1673"/>
    <w:rPr>
      <w:rFonts w:asciiTheme="majorHAnsi" w:eastAsiaTheme="majorEastAsia" w:hAnsiTheme="majorHAnsi" w:cstheme="majorBidi"/>
      <w:color w:val="74787F" w:themeColor="text1" w:themeTint="D8"/>
      <w:sz w:val="21"/>
      <w:szCs w:val="21"/>
    </w:rPr>
  </w:style>
  <w:style w:type="character" w:customStyle="1" w:styleId="Heading9Char">
    <w:name w:val="Heading 9 Char"/>
    <w:basedOn w:val="DefaultParagraphFont"/>
    <w:link w:val="Heading9"/>
    <w:uiPriority w:val="9"/>
    <w:semiHidden/>
    <w:rsid w:val="007C1673"/>
    <w:rPr>
      <w:rFonts w:asciiTheme="majorHAnsi" w:eastAsiaTheme="majorEastAsia" w:hAnsiTheme="majorHAnsi" w:cstheme="majorBidi"/>
      <w:i/>
      <w:iCs/>
      <w:color w:val="74787F" w:themeColor="text1" w:themeTint="D8"/>
      <w:sz w:val="21"/>
      <w:szCs w:val="21"/>
    </w:rPr>
  </w:style>
  <w:style w:type="paragraph" w:styleId="ListParagraph">
    <w:name w:val="List Paragraph"/>
    <w:aliases w:val="SOW List,Table of contents numbered,lp1,List Paragraph1,lp11,Use Case List Paragraph,FooterText,numbered,Paragraphe de liste1,Bulletr List Paragraph,列出段落,列出段落1,Bullet 1,Grey Bullet List,Grey Bullet Style,Gov 2,Bullet List,Bulleted List"/>
    <w:basedOn w:val="Normal"/>
    <w:link w:val="ListParagraphChar"/>
    <w:qFormat/>
    <w:rsid w:val="00E02ECC"/>
    <w:pPr>
      <w:numPr>
        <w:numId w:val="4"/>
      </w:numPr>
      <w:spacing w:after="120" w:line="276" w:lineRule="auto"/>
      <w:jc w:val="left"/>
    </w:pPr>
  </w:style>
  <w:style w:type="character" w:styleId="Strong">
    <w:name w:val="Strong"/>
    <w:basedOn w:val="DefaultParagraphFont"/>
    <w:uiPriority w:val="22"/>
    <w:qFormat/>
    <w:rsid w:val="007C1673"/>
    <w:rPr>
      <w:b/>
      <w:bCs/>
    </w:rPr>
  </w:style>
  <w:style w:type="table" w:styleId="ListTable3-Accent1">
    <w:name w:val="List Table 3 Accent 1"/>
    <w:basedOn w:val="TableNormal"/>
    <w:uiPriority w:val="48"/>
    <w:rsid w:val="00B05F26"/>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57" w:type="dxa"/>
        <w:bottom w:w="57" w:type="dxa"/>
      </w:tblCellMar>
    </w:tblPr>
    <w:tblStylePr w:type="firstRow">
      <w:rPr>
        <w:b/>
        <w:bCs/>
        <w:color w:val="FFFFFF" w:themeColor="background1"/>
      </w:rPr>
      <w:tblPr/>
      <w:tcPr>
        <w:shd w:val="clear" w:color="auto" w:fill="C9DD03" w:themeFill="accent1"/>
      </w:tcPr>
    </w:tblStylePr>
    <w:tblStylePr w:type="lastRow">
      <w:rPr>
        <w:b/>
        <w:bCs/>
      </w:rPr>
      <w:tblPr/>
      <w:tcPr>
        <w:tcBorders>
          <w:top w:val="double" w:sz="4" w:space="0" w:color="C9DD0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9DD03" w:themeColor="accent1"/>
          <w:right w:val="single" w:sz="4" w:space="0" w:color="C9DD03" w:themeColor="accent1"/>
        </w:tcBorders>
      </w:tcPr>
    </w:tblStylePr>
    <w:tblStylePr w:type="band1Horz">
      <w:tblPr/>
      <w:tcPr>
        <w:tcBorders>
          <w:top w:val="single" w:sz="4" w:space="0" w:color="C9DD03" w:themeColor="accent1"/>
          <w:bottom w:val="single" w:sz="4" w:space="0" w:color="C9DD0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9DD03" w:themeColor="accent1"/>
          <w:left w:val="nil"/>
        </w:tcBorders>
      </w:tcPr>
    </w:tblStylePr>
    <w:tblStylePr w:type="swCell">
      <w:tblPr/>
      <w:tcPr>
        <w:tcBorders>
          <w:top w:val="double" w:sz="4" w:space="0" w:color="C9DD03" w:themeColor="accent1"/>
          <w:right w:val="nil"/>
        </w:tcBorders>
      </w:tcPr>
    </w:tblStylePr>
  </w:style>
  <w:style w:type="table" w:styleId="TableGridLight">
    <w:name w:val="Grid Table Light"/>
    <w:basedOn w:val="TableNormal"/>
    <w:uiPriority w:val="40"/>
    <w:rsid w:val="00D20BFB"/>
    <w:pPr>
      <w:spacing w:after="0" w:line="240" w:lineRule="auto"/>
    </w:pPr>
    <w:tblPr>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Pr>
  </w:style>
  <w:style w:type="table" w:styleId="ListTable3">
    <w:name w:val="List Table 3"/>
    <w:basedOn w:val="TableNormal"/>
    <w:uiPriority w:val="48"/>
    <w:rsid w:val="00B05F26"/>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57" w:type="dxa"/>
        <w:bottom w:w="57" w:type="dxa"/>
      </w:tblCellMar>
    </w:tblPr>
    <w:tblStylePr w:type="firstRow">
      <w:rPr>
        <w:b/>
        <w:bCs/>
        <w:color w:val="FFFFFF" w:themeColor="background1"/>
      </w:rPr>
      <w:tblPr/>
      <w:tcPr>
        <w:shd w:val="clear" w:color="auto" w:fill="5E6167" w:themeFill="text1"/>
      </w:tcPr>
    </w:tblStylePr>
    <w:tblStylePr w:type="lastRow">
      <w:rPr>
        <w:b/>
        <w:bCs/>
      </w:rPr>
      <w:tblPr/>
      <w:tcPr>
        <w:tcBorders>
          <w:top w:val="double" w:sz="4" w:space="0" w:color="5E6167"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E6167" w:themeColor="text1"/>
          <w:right w:val="single" w:sz="4" w:space="0" w:color="5E6167" w:themeColor="text1"/>
        </w:tcBorders>
      </w:tcPr>
    </w:tblStylePr>
    <w:tblStylePr w:type="band1Horz">
      <w:tblPr/>
      <w:tcPr>
        <w:tcBorders>
          <w:top w:val="single" w:sz="4" w:space="0" w:color="5E6167" w:themeColor="text1"/>
          <w:bottom w:val="single" w:sz="4" w:space="0" w:color="5E6167"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E6167" w:themeColor="text1"/>
          <w:left w:val="nil"/>
        </w:tcBorders>
      </w:tcPr>
    </w:tblStylePr>
    <w:tblStylePr w:type="swCell">
      <w:tblPr/>
      <w:tcPr>
        <w:tcBorders>
          <w:top w:val="double" w:sz="4" w:space="0" w:color="5E6167" w:themeColor="text1"/>
          <w:right w:val="nil"/>
        </w:tcBorders>
      </w:tcPr>
    </w:tblStylePr>
  </w:style>
  <w:style w:type="table" w:styleId="ListTable3-Accent3">
    <w:name w:val="List Table 3 Accent 3"/>
    <w:basedOn w:val="TableNormal"/>
    <w:uiPriority w:val="48"/>
    <w:rsid w:val="00B05F26"/>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57" w:type="dxa"/>
        <w:bottom w:w="57" w:type="dxa"/>
      </w:tblCellMar>
    </w:tblPr>
    <w:tblStylePr w:type="firstRow">
      <w:rPr>
        <w:b/>
        <w:bCs/>
        <w:color w:val="FFFFFF" w:themeColor="background1"/>
      </w:rPr>
      <w:tblPr/>
      <w:tcPr>
        <w:shd w:val="clear" w:color="auto" w:fill="AEA300" w:themeFill="accent3"/>
      </w:tcPr>
    </w:tblStylePr>
    <w:tblStylePr w:type="lastRow">
      <w:rPr>
        <w:b/>
        <w:bCs/>
      </w:rPr>
      <w:tblPr/>
      <w:tcPr>
        <w:tcBorders>
          <w:top w:val="double" w:sz="4" w:space="0" w:color="AEA3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EA300" w:themeColor="accent3"/>
          <w:right w:val="single" w:sz="4" w:space="0" w:color="AEA300" w:themeColor="accent3"/>
        </w:tcBorders>
      </w:tcPr>
    </w:tblStylePr>
    <w:tblStylePr w:type="band1Horz">
      <w:tblPr/>
      <w:tcPr>
        <w:tcBorders>
          <w:top w:val="single" w:sz="4" w:space="0" w:color="AEA300" w:themeColor="accent3"/>
          <w:bottom w:val="single" w:sz="4" w:space="0" w:color="AEA3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EA300" w:themeColor="accent3"/>
          <w:left w:val="nil"/>
        </w:tcBorders>
      </w:tcPr>
    </w:tblStylePr>
    <w:tblStylePr w:type="swCell">
      <w:tblPr/>
      <w:tcPr>
        <w:tcBorders>
          <w:top w:val="double" w:sz="4" w:space="0" w:color="AEA300" w:themeColor="accent3"/>
          <w:right w:val="nil"/>
        </w:tcBorders>
      </w:tcPr>
    </w:tblStylePr>
  </w:style>
  <w:style w:type="table" w:styleId="ListTable3-Accent4">
    <w:name w:val="List Table 3 Accent 4"/>
    <w:basedOn w:val="TableNormal"/>
    <w:uiPriority w:val="48"/>
    <w:rsid w:val="00596A01"/>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57" w:type="dxa"/>
        <w:bottom w:w="57" w:type="dxa"/>
      </w:tblCellMar>
    </w:tblPr>
    <w:tblStylePr w:type="firstRow">
      <w:rPr>
        <w:b/>
        <w:bCs/>
        <w:color w:val="FFFFFF" w:themeColor="background1"/>
      </w:rPr>
      <w:tblPr/>
      <w:tcPr>
        <w:shd w:val="clear" w:color="auto" w:fill="C79900" w:themeFill="accent4"/>
      </w:tcPr>
    </w:tblStylePr>
    <w:tblStylePr w:type="lastRow">
      <w:rPr>
        <w:b/>
        <w:bCs/>
      </w:rPr>
      <w:tblPr/>
      <w:tcPr>
        <w:tcBorders>
          <w:top w:val="double" w:sz="4" w:space="0" w:color="C799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9900" w:themeColor="accent4"/>
          <w:right w:val="single" w:sz="4" w:space="0" w:color="C79900" w:themeColor="accent4"/>
        </w:tcBorders>
      </w:tcPr>
    </w:tblStylePr>
    <w:tblStylePr w:type="band1Horz">
      <w:tblPr/>
      <w:tcPr>
        <w:tcBorders>
          <w:top w:val="single" w:sz="4" w:space="0" w:color="C79900" w:themeColor="accent4"/>
          <w:bottom w:val="single" w:sz="4" w:space="0" w:color="C799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9900" w:themeColor="accent4"/>
          <w:left w:val="nil"/>
        </w:tcBorders>
      </w:tcPr>
    </w:tblStylePr>
    <w:tblStylePr w:type="swCell">
      <w:tblPr/>
      <w:tcPr>
        <w:tcBorders>
          <w:top w:val="double" w:sz="4" w:space="0" w:color="C79900" w:themeColor="accent4"/>
          <w:right w:val="nil"/>
        </w:tcBorders>
      </w:tcPr>
    </w:tblStylePr>
  </w:style>
  <w:style w:type="table" w:styleId="ListTable3-Accent5">
    <w:name w:val="List Table 3 Accent 5"/>
    <w:basedOn w:val="TableNormal"/>
    <w:uiPriority w:val="48"/>
    <w:rsid w:val="00596A01"/>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57" w:type="dxa"/>
        <w:bottom w:w="57" w:type="dxa"/>
      </w:tblCellMar>
    </w:tblPr>
    <w:tblStylePr w:type="firstRow">
      <w:rPr>
        <w:b/>
        <w:bCs/>
        <w:color w:val="FFFFFF" w:themeColor="background1"/>
      </w:rPr>
      <w:tblPr/>
      <w:tcPr>
        <w:shd w:val="clear" w:color="auto" w:fill="5F3451" w:themeFill="accent5"/>
      </w:tcPr>
    </w:tblStylePr>
    <w:tblStylePr w:type="lastRow">
      <w:rPr>
        <w:b/>
        <w:bCs/>
      </w:rPr>
      <w:tblPr/>
      <w:tcPr>
        <w:tcBorders>
          <w:top w:val="double" w:sz="4" w:space="0" w:color="5F345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3451" w:themeColor="accent5"/>
          <w:right w:val="single" w:sz="4" w:space="0" w:color="5F3451" w:themeColor="accent5"/>
        </w:tcBorders>
      </w:tcPr>
    </w:tblStylePr>
    <w:tblStylePr w:type="band1Horz">
      <w:tblPr/>
      <w:tcPr>
        <w:tcBorders>
          <w:top w:val="single" w:sz="4" w:space="0" w:color="5F3451" w:themeColor="accent5"/>
          <w:bottom w:val="single" w:sz="4" w:space="0" w:color="5F345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3451" w:themeColor="accent5"/>
          <w:left w:val="nil"/>
        </w:tcBorders>
      </w:tcPr>
    </w:tblStylePr>
    <w:tblStylePr w:type="swCell">
      <w:tblPr/>
      <w:tcPr>
        <w:tcBorders>
          <w:top w:val="double" w:sz="4" w:space="0" w:color="5F3451" w:themeColor="accent5"/>
          <w:right w:val="nil"/>
        </w:tcBorders>
      </w:tcPr>
    </w:tblStylePr>
  </w:style>
  <w:style w:type="table" w:styleId="ListTable3-Accent6">
    <w:name w:val="List Table 3 Accent 6"/>
    <w:basedOn w:val="TableNormal"/>
    <w:uiPriority w:val="48"/>
    <w:rsid w:val="00596A01"/>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57" w:type="dxa"/>
        <w:bottom w:w="57" w:type="dxa"/>
      </w:tblCellMar>
    </w:tblPr>
    <w:tblStylePr w:type="firstRow">
      <w:rPr>
        <w:b/>
        <w:bCs/>
        <w:color w:val="FFFFFF" w:themeColor="background1"/>
      </w:rPr>
      <w:tblPr/>
      <w:tcPr>
        <w:shd w:val="clear" w:color="auto" w:fill="0075C9" w:themeFill="accent6"/>
      </w:tcPr>
    </w:tblStylePr>
    <w:tblStylePr w:type="lastRow">
      <w:rPr>
        <w:b/>
        <w:bCs/>
      </w:rPr>
      <w:tblPr/>
      <w:tcPr>
        <w:tcBorders>
          <w:top w:val="double" w:sz="4" w:space="0" w:color="0075C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C9" w:themeColor="accent6"/>
          <w:right w:val="single" w:sz="4" w:space="0" w:color="0075C9" w:themeColor="accent6"/>
        </w:tcBorders>
      </w:tcPr>
    </w:tblStylePr>
    <w:tblStylePr w:type="band1Horz">
      <w:tblPr/>
      <w:tcPr>
        <w:tcBorders>
          <w:top w:val="single" w:sz="4" w:space="0" w:color="0075C9" w:themeColor="accent6"/>
          <w:bottom w:val="single" w:sz="4" w:space="0" w:color="0075C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C9" w:themeColor="accent6"/>
          <w:left w:val="nil"/>
        </w:tcBorders>
      </w:tcPr>
    </w:tblStylePr>
    <w:tblStylePr w:type="swCell">
      <w:tblPr/>
      <w:tcPr>
        <w:tcBorders>
          <w:top w:val="double" w:sz="4" w:space="0" w:color="0075C9" w:themeColor="accent6"/>
          <w:right w:val="nil"/>
        </w:tcBorders>
      </w:tcPr>
    </w:tblStylePr>
  </w:style>
  <w:style w:type="table" w:styleId="ListTable4">
    <w:name w:val="List Table 4"/>
    <w:basedOn w:val="TableNormal"/>
    <w:uiPriority w:val="49"/>
    <w:rsid w:val="00596A01"/>
    <w:pPr>
      <w:spacing w:after="0" w:line="240" w:lineRule="auto"/>
    </w:pPr>
    <w:tblPr>
      <w:tblStyleRowBandSize w:val="1"/>
      <w:tblStyleColBandSize w:val="1"/>
      <w:tblBorders>
        <w:top w:val="single" w:sz="4" w:space="0" w:color="9C9FA5" w:themeColor="text1" w:themeTint="99"/>
        <w:left w:val="single" w:sz="4" w:space="0" w:color="9C9FA5" w:themeColor="text1" w:themeTint="99"/>
        <w:bottom w:val="single" w:sz="4" w:space="0" w:color="9C9FA5" w:themeColor="text1" w:themeTint="99"/>
        <w:right w:val="single" w:sz="4" w:space="0" w:color="9C9FA5" w:themeColor="text1" w:themeTint="99"/>
        <w:insideH w:val="single" w:sz="4" w:space="0" w:color="9C9FA5" w:themeColor="text1" w:themeTint="99"/>
      </w:tblBorders>
      <w:tblCellMar>
        <w:top w:w="57" w:type="dxa"/>
        <w:bottom w:w="57" w:type="dxa"/>
      </w:tblCellMar>
    </w:tblPr>
    <w:tblStylePr w:type="firstRow">
      <w:rPr>
        <w:b/>
        <w:bCs/>
        <w:color w:val="FFFFFF" w:themeColor="background1"/>
      </w:rPr>
      <w:tblPr/>
      <w:tcPr>
        <w:tcBorders>
          <w:top w:val="single" w:sz="4" w:space="0" w:color="5E6167" w:themeColor="text1"/>
          <w:left w:val="single" w:sz="4" w:space="0" w:color="5E6167" w:themeColor="text1"/>
          <w:bottom w:val="single" w:sz="4" w:space="0" w:color="5E6167" w:themeColor="text1"/>
          <w:right w:val="single" w:sz="4" w:space="0" w:color="5E6167" w:themeColor="text1"/>
          <w:insideH w:val="nil"/>
        </w:tcBorders>
        <w:shd w:val="clear" w:color="auto" w:fill="5E6167" w:themeFill="text1"/>
      </w:tcPr>
    </w:tblStylePr>
    <w:tblStylePr w:type="lastRow">
      <w:rPr>
        <w:b/>
        <w:bCs/>
      </w:rPr>
      <w:tblPr/>
      <w:tcPr>
        <w:tcBorders>
          <w:top w:val="double" w:sz="4" w:space="0" w:color="9C9FA5" w:themeColor="text1" w:themeTint="99"/>
        </w:tcBorders>
      </w:tcPr>
    </w:tblStylePr>
    <w:tblStylePr w:type="firstCol">
      <w:rPr>
        <w:b/>
        <w:bCs/>
      </w:rPr>
    </w:tblStylePr>
    <w:tblStylePr w:type="lastCol">
      <w:rPr>
        <w:b/>
        <w:bCs/>
      </w:rPr>
    </w:tblStylePr>
    <w:tblStylePr w:type="band1Vert">
      <w:tblPr/>
      <w:tcPr>
        <w:shd w:val="clear" w:color="auto" w:fill="DEDFE1" w:themeFill="text1" w:themeFillTint="33"/>
      </w:tcPr>
    </w:tblStylePr>
    <w:tblStylePr w:type="band1Horz">
      <w:tblPr/>
      <w:tcPr>
        <w:shd w:val="clear" w:color="auto" w:fill="DEDFE1" w:themeFill="text1" w:themeFillTint="33"/>
      </w:tcPr>
    </w:tblStylePr>
  </w:style>
  <w:style w:type="table" w:styleId="ListTable4-Accent1">
    <w:name w:val="List Table 4 Accent 1"/>
    <w:basedOn w:val="TableNormal"/>
    <w:uiPriority w:val="49"/>
    <w:rsid w:val="00596A01"/>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tblBorders>
      <w:tblCellMar>
        <w:top w:w="57" w:type="dxa"/>
        <w:bottom w:w="57" w:type="dxa"/>
      </w:tblCellMar>
    </w:tblPr>
    <w:tblStylePr w:type="firstRow">
      <w:rPr>
        <w:b/>
        <w:bCs/>
        <w:color w:val="FFFFFF" w:themeColor="background1"/>
      </w:rPr>
      <w:tblPr/>
      <w:tcPr>
        <w:tcBorders>
          <w:top w:val="single" w:sz="4" w:space="0" w:color="C9DD03" w:themeColor="accent1"/>
          <w:left w:val="single" w:sz="4" w:space="0" w:color="C9DD03" w:themeColor="accent1"/>
          <w:bottom w:val="single" w:sz="4" w:space="0" w:color="C9DD03" w:themeColor="accent1"/>
          <w:right w:val="single" w:sz="4" w:space="0" w:color="C9DD03" w:themeColor="accent1"/>
          <w:insideH w:val="nil"/>
        </w:tcBorders>
        <w:shd w:val="clear" w:color="auto" w:fill="C9DD03" w:themeFill="accent1"/>
      </w:tcPr>
    </w:tblStylePr>
    <w:tblStylePr w:type="lastRow">
      <w:rPr>
        <w:b/>
        <w:bCs/>
      </w:rPr>
      <w:tblPr/>
      <w:tcPr>
        <w:tcBorders>
          <w:top w:val="double" w:sz="4" w:space="0" w:color="EDFC55" w:themeColor="accent1" w:themeTint="99"/>
        </w:tcBorders>
      </w:tcPr>
    </w:tblStylePr>
    <w:tblStylePr w:type="firstCol">
      <w:rPr>
        <w:b/>
        <w:bCs/>
      </w:rPr>
    </w:tblStylePr>
    <w:tblStylePr w:type="lastCol">
      <w:rPr>
        <w:b/>
        <w:bCs/>
      </w:rPr>
    </w:tblStylePr>
    <w:tblStylePr w:type="band1Vert">
      <w:tblPr/>
      <w:tcPr>
        <w:shd w:val="clear" w:color="auto" w:fill="F9FEC6" w:themeFill="accent1" w:themeFillTint="33"/>
      </w:tcPr>
    </w:tblStylePr>
    <w:tblStylePr w:type="band1Horz">
      <w:tblPr/>
      <w:tcPr>
        <w:shd w:val="clear" w:color="auto" w:fill="F9FEC6" w:themeFill="accent1" w:themeFillTint="33"/>
      </w:tcPr>
    </w:tblStylePr>
  </w:style>
  <w:style w:type="table" w:styleId="ListTable4-Accent2">
    <w:name w:val="List Table 4 Accent 2"/>
    <w:basedOn w:val="TableNormal"/>
    <w:uiPriority w:val="49"/>
    <w:rsid w:val="00D303CA"/>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tblBorders>
      <w:tblCellMar>
        <w:top w:w="57" w:type="dxa"/>
        <w:bottom w:w="57" w:type="dxa"/>
      </w:tblCellMar>
    </w:tblPr>
    <w:tblStylePr w:type="firstRow">
      <w:rPr>
        <w:b/>
        <w:bCs/>
        <w:color w:val="FFFFFF" w:themeColor="background1"/>
      </w:rPr>
      <w:tblPr/>
      <w:tcPr>
        <w:tcBorders>
          <w:top w:val="single" w:sz="4" w:space="0" w:color="8E9300" w:themeColor="accent2"/>
          <w:left w:val="single" w:sz="4" w:space="0" w:color="8E9300" w:themeColor="accent2"/>
          <w:bottom w:val="single" w:sz="4" w:space="0" w:color="8E9300" w:themeColor="accent2"/>
          <w:right w:val="single" w:sz="4" w:space="0" w:color="8E9300" w:themeColor="accent2"/>
          <w:insideH w:val="nil"/>
        </w:tcBorders>
        <w:shd w:val="clear" w:color="auto" w:fill="8E9300" w:themeFill="accent2"/>
      </w:tcPr>
    </w:tblStylePr>
    <w:tblStylePr w:type="lastRow">
      <w:rPr>
        <w:b/>
        <w:bCs/>
      </w:rPr>
      <w:tblPr/>
      <w:tcPr>
        <w:tcBorders>
          <w:top w:val="double" w:sz="4" w:space="0" w:color="F7FF25" w:themeColor="accent2" w:themeTint="99"/>
        </w:tcBorders>
      </w:tcPr>
    </w:tblStylePr>
    <w:tblStylePr w:type="firstCol">
      <w:rPr>
        <w:b/>
        <w:bCs/>
      </w:rPr>
    </w:tblStylePr>
    <w:tblStylePr w:type="lastCol">
      <w:rPr>
        <w:b/>
        <w:bCs/>
      </w:rPr>
    </w:tblStylePr>
    <w:tblStylePr w:type="band1Vert">
      <w:tblPr/>
      <w:tcPr>
        <w:shd w:val="clear" w:color="auto" w:fill="FCFFB6" w:themeFill="accent2" w:themeFillTint="33"/>
      </w:tcPr>
    </w:tblStylePr>
    <w:tblStylePr w:type="band1Horz">
      <w:tblPr/>
      <w:tcPr>
        <w:shd w:val="clear" w:color="auto" w:fill="FCFFB6" w:themeFill="accent2" w:themeFillTint="33"/>
      </w:tcPr>
    </w:tblStylePr>
  </w:style>
  <w:style w:type="table" w:styleId="ListTable4-Accent3">
    <w:name w:val="List Table 4 Accent 3"/>
    <w:basedOn w:val="TableNormal"/>
    <w:uiPriority w:val="49"/>
    <w:rsid w:val="00D303CA"/>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tblBorders>
      <w:tblCellMar>
        <w:top w:w="57" w:type="dxa"/>
        <w:bottom w:w="57" w:type="dxa"/>
      </w:tblCellMar>
    </w:tblPr>
    <w:tblStylePr w:type="firstRow">
      <w:rPr>
        <w:b/>
        <w:bCs/>
        <w:color w:val="FFFFFF" w:themeColor="background1"/>
      </w:rPr>
      <w:tblPr/>
      <w:tcPr>
        <w:tcBorders>
          <w:top w:val="single" w:sz="4" w:space="0" w:color="AEA300" w:themeColor="accent3"/>
          <w:left w:val="single" w:sz="4" w:space="0" w:color="AEA300" w:themeColor="accent3"/>
          <w:bottom w:val="single" w:sz="4" w:space="0" w:color="AEA300" w:themeColor="accent3"/>
          <w:right w:val="single" w:sz="4" w:space="0" w:color="AEA300" w:themeColor="accent3"/>
          <w:insideH w:val="nil"/>
        </w:tcBorders>
        <w:shd w:val="clear" w:color="auto" w:fill="AEA300" w:themeFill="accent3"/>
      </w:tcPr>
    </w:tblStylePr>
    <w:tblStylePr w:type="lastRow">
      <w:rPr>
        <w:b/>
        <w:bCs/>
      </w:rPr>
      <w:tblPr/>
      <w:tcPr>
        <w:tcBorders>
          <w:top w:val="double" w:sz="4" w:space="0" w:color="FFF135" w:themeColor="accent3" w:themeTint="99"/>
        </w:tcBorders>
      </w:tcPr>
    </w:tblStylePr>
    <w:tblStylePr w:type="firstCol">
      <w:rPr>
        <w:b/>
        <w:bCs/>
      </w:rPr>
    </w:tblStylePr>
    <w:tblStylePr w:type="lastCol">
      <w:rPr>
        <w:b/>
        <w:bCs/>
      </w:rPr>
    </w:tblStylePr>
    <w:tblStylePr w:type="band1Vert">
      <w:tblPr/>
      <w:tcPr>
        <w:shd w:val="clear" w:color="auto" w:fill="FFFABB" w:themeFill="accent3" w:themeFillTint="33"/>
      </w:tcPr>
    </w:tblStylePr>
    <w:tblStylePr w:type="band1Horz">
      <w:tblPr/>
      <w:tcPr>
        <w:shd w:val="clear" w:color="auto" w:fill="FFFABB" w:themeFill="accent3" w:themeFillTint="33"/>
      </w:tcPr>
    </w:tblStylePr>
  </w:style>
  <w:style w:type="table" w:styleId="ListTable4-Accent4">
    <w:name w:val="List Table 4 Accent 4"/>
    <w:basedOn w:val="TableNormal"/>
    <w:uiPriority w:val="49"/>
    <w:rsid w:val="000877A2"/>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tblBorders>
      <w:tblCellMar>
        <w:top w:w="57" w:type="dxa"/>
        <w:bottom w:w="57" w:type="dxa"/>
      </w:tblCellMar>
    </w:tblPr>
    <w:tblStylePr w:type="firstRow">
      <w:rPr>
        <w:b/>
        <w:bCs/>
        <w:color w:val="FFFFFF" w:themeColor="background1"/>
      </w:rPr>
      <w:tblPr/>
      <w:tcPr>
        <w:tcBorders>
          <w:top w:val="single" w:sz="4" w:space="0" w:color="C79900" w:themeColor="accent4"/>
          <w:left w:val="single" w:sz="4" w:space="0" w:color="C79900" w:themeColor="accent4"/>
          <w:bottom w:val="single" w:sz="4" w:space="0" w:color="C79900" w:themeColor="accent4"/>
          <w:right w:val="single" w:sz="4" w:space="0" w:color="C79900" w:themeColor="accent4"/>
          <w:insideH w:val="nil"/>
        </w:tcBorders>
        <w:shd w:val="clear" w:color="auto" w:fill="C79900" w:themeFill="accent4"/>
      </w:tcPr>
    </w:tblStylePr>
    <w:tblStylePr w:type="lastRow">
      <w:rPr>
        <w:b/>
        <w:bCs/>
      </w:rPr>
      <w:tblPr/>
      <w:tcPr>
        <w:tcBorders>
          <w:top w:val="double" w:sz="4" w:space="0" w:color="FFD344" w:themeColor="accent4" w:themeTint="99"/>
        </w:tcBorders>
      </w:tcPr>
    </w:tblStylePr>
    <w:tblStylePr w:type="firstCol">
      <w:rPr>
        <w:b/>
        <w:bCs/>
      </w:rPr>
    </w:tblStylePr>
    <w:tblStylePr w:type="lastCol">
      <w:rPr>
        <w:b/>
        <w:bCs/>
      </w:rPr>
    </w:tblStylePr>
    <w:tblStylePr w:type="band1Vert">
      <w:tblPr/>
      <w:tcPr>
        <w:shd w:val="clear" w:color="auto" w:fill="FFF0C0" w:themeFill="accent4" w:themeFillTint="33"/>
      </w:tcPr>
    </w:tblStylePr>
    <w:tblStylePr w:type="band1Horz">
      <w:tblPr/>
      <w:tcPr>
        <w:shd w:val="clear" w:color="auto" w:fill="FFF0C0" w:themeFill="accent4" w:themeFillTint="33"/>
      </w:tcPr>
    </w:tblStylePr>
  </w:style>
  <w:style w:type="table" w:styleId="ListTable4-Accent5">
    <w:name w:val="List Table 4 Accent 5"/>
    <w:basedOn w:val="TableNormal"/>
    <w:uiPriority w:val="49"/>
    <w:rsid w:val="00C650ED"/>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tblBorders>
      <w:tblCellMar>
        <w:top w:w="57" w:type="dxa"/>
        <w:bottom w:w="57" w:type="dxa"/>
      </w:tblCellMar>
    </w:tblPr>
    <w:tblStylePr w:type="firstRow">
      <w:rPr>
        <w:b/>
        <w:bCs/>
        <w:color w:val="FFFFFF" w:themeColor="background1"/>
      </w:rPr>
      <w:tblPr/>
      <w:tcPr>
        <w:tcBorders>
          <w:top w:val="single" w:sz="4" w:space="0" w:color="5F3451" w:themeColor="accent5"/>
          <w:left w:val="single" w:sz="4" w:space="0" w:color="5F3451" w:themeColor="accent5"/>
          <w:bottom w:val="single" w:sz="4" w:space="0" w:color="5F3451" w:themeColor="accent5"/>
          <w:right w:val="single" w:sz="4" w:space="0" w:color="5F3451" w:themeColor="accent5"/>
          <w:insideH w:val="nil"/>
        </w:tcBorders>
        <w:shd w:val="clear" w:color="auto" w:fill="5F3451" w:themeFill="accent5"/>
      </w:tcPr>
    </w:tblStylePr>
    <w:tblStylePr w:type="lastRow">
      <w:rPr>
        <w:b/>
        <w:bCs/>
      </w:rPr>
      <w:tblPr/>
      <w:tcPr>
        <w:tcBorders>
          <w:top w:val="double" w:sz="4" w:space="0" w:color="B2729C" w:themeColor="accent5" w:themeTint="99"/>
        </w:tcBorders>
      </w:tcPr>
    </w:tblStylePr>
    <w:tblStylePr w:type="firstCol">
      <w:rPr>
        <w:b/>
        <w:bCs/>
      </w:rPr>
    </w:tblStylePr>
    <w:tblStylePr w:type="lastCol">
      <w:rPr>
        <w:b/>
        <w:bCs/>
      </w:rPr>
    </w:tblStylePr>
    <w:tblStylePr w:type="band1Vert">
      <w:tblPr/>
      <w:tcPr>
        <w:shd w:val="clear" w:color="auto" w:fill="E5D0DE" w:themeFill="accent5" w:themeFillTint="33"/>
      </w:tcPr>
    </w:tblStylePr>
    <w:tblStylePr w:type="band1Horz">
      <w:tblPr/>
      <w:tcPr>
        <w:shd w:val="clear" w:color="auto" w:fill="E5D0DE" w:themeFill="accent5" w:themeFillTint="33"/>
      </w:tcPr>
    </w:tblStylePr>
  </w:style>
  <w:style w:type="table" w:styleId="ListTable4-Accent6">
    <w:name w:val="List Table 4 Accent 6"/>
    <w:basedOn w:val="TableNormal"/>
    <w:uiPriority w:val="49"/>
    <w:rsid w:val="00C650ED"/>
    <w:pPr>
      <w:spacing w:after="0" w:line="240" w:lineRule="auto"/>
    </w:pPr>
    <w:tblPr>
      <w:tblStyleRowBandSize w:val="1"/>
      <w:tblStyleColBandSize w:val="1"/>
      <w:tblBorders>
        <w:top w:val="single" w:sz="4" w:space="0" w:color="AEB4AB"/>
        <w:left w:val="single" w:sz="4" w:space="0" w:color="AEB4AB"/>
        <w:bottom w:val="single" w:sz="4" w:space="0" w:color="AEB4AB"/>
        <w:right w:val="single" w:sz="4" w:space="0" w:color="AEB4AB"/>
        <w:insideH w:val="single" w:sz="4" w:space="0" w:color="AEB4AB"/>
      </w:tblBorders>
      <w:tblCellMar>
        <w:top w:w="57" w:type="dxa"/>
        <w:bottom w:w="57" w:type="dxa"/>
      </w:tblCellMar>
    </w:tblPr>
    <w:tblStylePr w:type="firstRow">
      <w:rPr>
        <w:b/>
        <w:bCs/>
        <w:color w:val="FFFFFF" w:themeColor="background1"/>
      </w:rPr>
      <w:tblPr/>
      <w:tcPr>
        <w:tcBorders>
          <w:top w:val="single" w:sz="4" w:space="0" w:color="0075C9" w:themeColor="accent6"/>
          <w:left w:val="single" w:sz="4" w:space="0" w:color="0075C9" w:themeColor="accent6"/>
          <w:bottom w:val="single" w:sz="4" w:space="0" w:color="0075C9" w:themeColor="accent6"/>
          <w:right w:val="single" w:sz="4" w:space="0" w:color="0075C9" w:themeColor="accent6"/>
          <w:insideH w:val="nil"/>
        </w:tcBorders>
        <w:shd w:val="clear" w:color="auto" w:fill="0075C9" w:themeFill="accent6"/>
      </w:tcPr>
    </w:tblStylePr>
    <w:tblStylePr w:type="lastRow">
      <w:rPr>
        <w:b/>
        <w:bCs/>
      </w:rPr>
      <w:tblPr/>
      <w:tcPr>
        <w:tcBorders>
          <w:top w:val="double" w:sz="4" w:space="0" w:color="45B1FF" w:themeColor="accent6" w:themeTint="99"/>
        </w:tcBorders>
      </w:tcPr>
    </w:tblStylePr>
    <w:tblStylePr w:type="firstCol">
      <w:rPr>
        <w:b/>
        <w:bCs/>
      </w:rPr>
    </w:tblStylePr>
    <w:tblStylePr w:type="lastCol">
      <w:rPr>
        <w:b/>
        <w:bCs/>
      </w:rPr>
    </w:tblStylePr>
    <w:tblStylePr w:type="band1Vert">
      <w:tblPr/>
      <w:tcPr>
        <w:shd w:val="clear" w:color="auto" w:fill="C1E4FF" w:themeFill="accent6" w:themeFillTint="33"/>
      </w:tcPr>
    </w:tblStylePr>
    <w:tblStylePr w:type="band1Horz">
      <w:tblPr/>
      <w:tcPr>
        <w:shd w:val="clear" w:color="auto" w:fill="C1E4FF" w:themeFill="accent6" w:themeFillTint="33"/>
      </w:tcPr>
    </w:tblStylePr>
  </w:style>
  <w:style w:type="character" w:styleId="IntenseEmphasis">
    <w:name w:val="Intense Emphasis"/>
    <w:basedOn w:val="DefaultParagraphFont"/>
    <w:uiPriority w:val="21"/>
    <w:qFormat/>
    <w:rsid w:val="004F0FC4"/>
    <w:rPr>
      <w:i/>
      <w:iCs/>
      <w:color w:val="8E9300" w:themeColor="accent2"/>
    </w:rPr>
  </w:style>
  <w:style w:type="paragraph" w:styleId="IntenseQuote">
    <w:name w:val="Intense Quote"/>
    <w:basedOn w:val="ListParagraph"/>
    <w:next w:val="Normal"/>
    <w:link w:val="IntenseQuoteChar"/>
    <w:uiPriority w:val="30"/>
    <w:qFormat/>
    <w:rsid w:val="00EF15B0"/>
    <w:pPr>
      <w:numPr>
        <w:numId w:val="1"/>
      </w:numPr>
      <w:spacing w:before="40" w:after="40"/>
      <w:contextualSpacing/>
    </w:pPr>
    <w:rPr>
      <w:rFonts w:ascii="Helvetica Neue" w:hAnsi="Helvetica Neue"/>
      <w:color w:val="FFFFFF" w:themeColor="background1"/>
      <w:lang w:val="en-US"/>
    </w:rPr>
  </w:style>
  <w:style w:type="character" w:customStyle="1" w:styleId="IntenseQuoteChar">
    <w:name w:val="Intense Quote Char"/>
    <w:basedOn w:val="DefaultParagraphFont"/>
    <w:link w:val="IntenseQuote"/>
    <w:uiPriority w:val="30"/>
    <w:rsid w:val="00EF15B0"/>
    <w:rPr>
      <w:rFonts w:ascii="Helvetica Neue" w:hAnsi="Helvetica Neue"/>
      <w:color w:val="FFFFFF" w:themeColor="background1"/>
      <w:sz w:val="22"/>
      <w:szCs w:val="22"/>
      <w:lang w:val="en-US"/>
    </w:rPr>
  </w:style>
  <w:style w:type="character" w:styleId="IntenseReference">
    <w:name w:val="Intense Reference"/>
    <w:basedOn w:val="DefaultParagraphFont"/>
    <w:uiPriority w:val="32"/>
    <w:qFormat/>
    <w:rsid w:val="004F0FC4"/>
    <w:rPr>
      <w:b/>
      <w:bCs/>
      <w:smallCaps/>
      <w:color w:val="8E9300" w:themeColor="accent2"/>
      <w:spacing w:val="5"/>
    </w:rPr>
  </w:style>
  <w:style w:type="paragraph" w:styleId="Caption">
    <w:name w:val="caption"/>
    <w:basedOn w:val="Normal"/>
    <w:next w:val="Normal"/>
    <w:link w:val="CaptionChar"/>
    <w:uiPriority w:val="10"/>
    <w:unhideWhenUsed/>
    <w:qFormat/>
    <w:rsid w:val="001F7CC8"/>
    <w:pPr>
      <w:spacing w:before="120" w:after="40"/>
      <w:jc w:val="center"/>
    </w:pPr>
    <w:rPr>
      <w:b/>
      <w:iCs/>
      <w:szCs w:val="18"/>
    </w:rPr>
  </w:style>
  <w:style w:type="paragraph" w:styleId="Title">
    <w:name w:val="Title"/>
    <w:basedOn w:val="Normal"/>
    <w:next w:val="Normal"/>
    <w:link w:val="TitleChar"/>
    <w:uiPriority w:val="10"/>
    <w:qFormat/>
    <w:rsid w:val="00EE003A"/>
    <w:pPr>
      <w:spacing w:after="0" w:line="240" w:lineRule="auto"/>
    </w:pPr>
    <w:rPr>
      <w:rFonts w:cs="Arial"/>
      <w:b/>
      <w:bCs/>
      <w:color w:val="FFFFFF" w:themeColor="background1"/>
      <w:sz w:val="56"/>
      <w:szCs w:val="56"/>
      <w:lang w:val="en-GB"/>
    </w:rPr>
  </w:style>
  <w:style w:type="character" w:customStyle="1" w:styleId="TitleChar">
    <w:name w:val="Title Char"/>
    <w:basedOn w:val="DefaultParagraphFont"/>
    <w:link w:val="Title"/>
    <w:uiPriority w:val="10"/>
    <w:rsid w:val="00145CC6"/>
    <w:rPr>
      <w:rFonts w:cs="Arial"/>
      <w:b/>
      <w:bCs/>
      <w:color w:val="FFFFFF" w:themeColor="background1"/>
      <w:sz w:val="56"/>
      <w:szCs w:val="56"/>
      <w:lang w:val="en-GB"/>
    </w:rPr>
  </w:style>
  <w:style w:type="paragraph" w:styleId="Subtitle">
    <w:name w:val="Subtitle"/>
    <w:basedOn w:val="Normal"/>
    <w:next w:val="Normal"/>
    <w:link w:val="SubtitleChar"/>
    <w:uiPriority w:val="11"/>
    <w:qFormat/>
    <w:rsid w:val="00EE003A"/>
    <w:pPr>
      <w:spacing w:after="0" w:line="240" w:lineRule="auto"/>
    </w:pPr>
    <w:rPr>
      <w:rFonts w:cs="Arial"/>
      <w:b/>
      <w:bCs/>
      <w:color w:val="FFFFFF" w:themeColor="background1"/>
      <w:sz w:val="28"/>
      <w:szCs w:val="28"/>
      <w:lang w:val="fr-FR"/>
    </w:rPr>
  </w:style>
  <w:style w:type="character" w:customStyle="1" w:styleId="SubtitleChar">
    <w:name w:val="Subtitle Char"/>
    <w:basedOn w:val="DefaultParagraphFont"/>
    <w:link w:val="Subtitle"/>
    <w:uiPriority w:val="11"/>
    <w:rsid w:val="00EE003A"/>
    <w:rPr>
      <w:rFonts w:cs="Arial"/>
      <w:b/>
      <w:bCs/>
      <w:color w:val="FFFFFF" w:themeColor="background1"/>
      <w:sz w:val="28"/>
      <w:szCs w:val="28"/>
      <w:lang w:val="fr-FR"/>
    </w:rPr>
  </w:style>
  <w:style w:type="paragraph" w:customStyle="1" w:styleId="Information">
    <w:name w:val="Information"/>
    <w:basedOn w:val="Normal"/>
    <w:uiPriority w:val="12"/>
    <w:qFormat/>
    <w:rsid w:val="00EE003A"/>
    <w:pPr>
      <w:spacing w:after="0" w:line="276" w:lineRule="auto"/>
    </w:pPr>
    <w:rPr>
      <w:rFonts w:cs="Arial"/>
      <w:color w:val="FFFFFF" w:themeColor="background1"/>
      <w:sz w:val="24"/>
      <w:szCs w:val="24"/>
      <w:lang w:val="fr-FR"/>
    </w:rPr>
  </w:style>
  <w:style w:type="paragraph" w:customStyle="1" w:styleId="ConfidentialityHeading">
    <w:name w:val="Confidentiality Heading"/>
    <w:basedOn w:val="Normal"/>
    <w:uiPriority w:val="98"/>
    <w:qFormat/>
    <w:rsid w:val="003E018E"/>
    <w:rPr>
      <w:b/>
      <w:bCs/>
      <w:color w:val="5F3451" w:themeColor="accent5"/>
      <w:sz w:val="36"/>
      <w:szCs w:val="36"/>
    </w:rPr>
  </w:style>
  <w:style w:type="paragraph" w:customStyle="1" w:styleId="ConfidentialityBody">
    <w:name w:val="Confidentiality Body"/>
    <w:basedOn w:val="Normal"/>
    <w:uiPriority w:val="99"/>
    <w:qFormat/>
    <w:rsid w:val="003E018E"/>
    <w:pPr>
      <w:spacing w:line="276" w:lineRule="auto"/>
    </w:pPr>
    <w:rPr>
      <w:i/>
      <w:iCs/>
      <w:lang w:val="en-GB"/>
    </w:rPr>
  </w:style>
  <w:style w:type="paragraph" w:styleId="TOCHeading">
    <w:name w:val="TOC Heading"/>
    <w:basedOn w:val="Heading1"/>
    <w:next w:val="Normal"/>
    <w:uiPriority w:val="39"/>
    <w:unhideWhenUsed/>
    <w:qFormat/>
    <w:rsid w:val="008D38FA"/>
    <w:pPr>
      <w:numPr>
        <w:numId w:val="0"/>
      </w:numPr>
      <w:outlineLvl w:val="9"/>
    </w:pPr>
    <w:rPr>
      <w:rFonts w:ascii="Arial" w:hAnsi="Arial" w:cs="Arial"/>
      <w:bCs/>
      <w:sz w:val="32"/>
      <w:lang w:val="en-US"/>
    </w:rPr>
  </w:style>
  <w:style w:type="paragraph" w:styleId="TOC1">
    <w:name w:val="toc 1"/>
    <w:basedOn w:val="Normal"/>
    <w:next w:val="Normal"/>
    <w:autoRedefine/>
    <w:uiPriority w:val="39"/>
    <w:unhideWhenUsed/>
    <w:rsid w:val="0070689F"/>
    <w:pPr>
      <w:spacing w:before="360" w:after="0"/>
      <w:jc w:val="left"/>
    </w:pPr>
    <w:rPr>
      <w:rFonts w:asciiTheme="majorHAnsi" w:hAnsiTheme="majorHAnsi" w:cstheme="majorHAnsi"/>
      <w:b/>
      <w:bCs/>
      <w:caps/>
      <w:sz w:val="24"/>
      <w:szCs w:val="24"/>
    </w:rPr>
  </w:style>
  <w:style w:type="paragraph" w:styleId="TOC2">
    <w:name w:val="toc 2"/>
    <w:basedOn w:val="Normal"/>
    <w:next w:val="Normal"/>
    <w:autoRedefine/>
    <w:uiPriority w:val="39"/>
    <w:unhideWhenUsed/>
    <w:rsid w:val="00D93679"/>
    <w:pPr>
      <w:spacing w:before="240" w:after="0"/>
      <w:jc w:val="left"/>
    </w:pPr>
    <w:rPr>
      <w:rFonts w:cstheme="minorHAnsi"/>
      <w:b/>
      <w:bCs/>
      <w:sz w:val="20"/>
      <w:szCs w:val="20"/>
    </w:rPr>
  </w:style>
  <w:style w:type="paragraph" w:styleId="TOC3">
    <w:name w:val="toc 3"/>
    <w:basedOn w:val="Normal"/>
    <w:next w:val="Normal"/>
    <w:autoRedefine/>
    <w:uiPriority w:val="39"/>
    <w:unhideWhenUsed/>
    <w:rsid w:val="0070689F"/>
    <w:pPr>
      <w:spacing w:after="0"/>
      <w:ind w:left="220"/>
      <w:jc w:val="left"/>
    </w:pPr>
    <w:rPr>
      <w:rFonts w:cstheme="minorHAnsi"/>
      <w:sz w:val="20"/>
      <w:szCs w:val="20"/>
    </w:rPr>
  </w:style>
  <w:style w:type="character" w:styleId="Hyperlink">
    <w:name w:val="Hyperlink"/>
    <w:basedOn w:val="DefaultParagraphFont"/>
    <w:uiPriority w:val="99"/>
    <w:unhideWhenUsed/>
    <w:rsid w:val="008D38FA"/>
    <w:rPr>
      <w:color w:val="FDC82F" w:themeColor="hyperlink"/>
      <w:u w:val="single"/>
    </w:rPr>
  </w:style>
  <w:style w:type="paragraph" w:customStyle="1" w:styleId="DocumentBody">
    <w:name w:val="Document Body"/>
    <w:basedOn w:val="Normal"/>
    <w:uiPriority w:val="97"/>
    <w:qFormat/>
    <w:rsid w:val="00D20BFB"/>
  </w:style>
  <w:style w:type="paragraph" w:customStyle="1" w:styleId="BodyA">
    <w:name w:val="Body A"/>
    <w:rsid w:val="00BA5C69"/>
    <w:pPr>
      <w:pBdr>
        <w:top w:val="nil"/>
        <w:left w:val="nil"/>
        <w:bottom w:val="nil"/>
        <w:right w:val="nil"/>
        <w:between w:val="nil"/>
        <w:bar w:val="nil"/>
      </w:pBdr>
      <w:suppressAutoHyphens/>
      <w:spacing w:after="180" w:line="312" w:lineRule="auto"/>
      <w:jc w:val="both"/>
    </w:pPr>
    <w:rPr>
      <w:rFonts w:eastAsia="Arial Unicode MS" w:cs="Arial Unicode MS"/>
      <w:szCs w:val="18"/>
      <w:u w:color="000000"/>
      <w:bdr w:val="nil"/>
      <w:lang w:val="en-US"/>
    </w:rPr>
  </w:style>
  <w:style w:type="table" w:customStyle="1" w:styleId="DocTable-Accent2">
    <w:name w:val="Doc Table - Accent 2"/>
    <w:basedOn w:val="ListTable3-Accent2"/>
    <w:uiPriority w:val="99"/>
    <w:rsid w:val="00B9638A"/>
    <w:tblPr/>
    <w:tblStylePr w:type="firstRow">
      <w:rPr>
        <w:b/>
        <w:bCs/>
        <w:color w:val="FFFFFF" w:themeColor="background1"/>
      </w:rPr>
      <w:tblPr/>
      <w:tcPr>
        <w:shd w:val="clear" w:color="auto" w:fill="8E9300" w:themeFill="accent2"/>
      </w:tcPr>
    </w:tblStylePr>
    <w:tblStylePr w:type="lastRow">
      <w:rPr>
        <w:b/>
        <w:bCs/>
      </w:rPr>
      <w:tblPr/>
      <w:tcPr>
        <w:tcBorders>
          <w:top w:val="double" w:sz="4" w:space="0" w:color="8E93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9300" w:themeColor="accent2"/>
          <w:right w:val="single" w:sz="4" w:space="0" w:color="8E9300" w:themeColor="accent2"/>
        </w:tcBorders>
      </w:tcPr>
    </w:tblStylePr>
    <w:tblStylePr w:type="band1Horz">
      <w:tblPr/>
      <w:tcPr>
        <w:tcBorders>
          <w:top w:val="single" w:sz="4" w:space="0" w:color="8E9300" w:themeColor="accent2"/>
          <w:bottom w:val="single" w:sz="4" w:space="0" w:color="8E93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9300" w:themeColor="accent2"/>
          <w:left w:val="nil"/>
        </w:tcBorders>
      </w:tcPr>
    </w:tblStylePr>
    <w:tblStylePr w:type="swCell">
      <w:tblPr/>
      <w:tcPr>
        <w:tcBorders>
          <w:top w:val="double" w:sz="4" w:space="0" w:color="8E9300" w:themeColor="accent2"/>
          <w:right w:val="nil"/>
        </w:tcBorders>
      </w:tcPr>
    </w:tblStylePr>
  </w:style>
  <w:style w:type="paragraph" w:styleId="Header">
    <w:name w:val="header"/>
    <w:basedOn w:val="Normal"/>
    <w:link w:val="HeaderChar"/>
    <w:uiPriority w:val="99"/>
    <w:unhideWhenUsed/>
    <w:rsid w:val="00D54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016"/>
  </w:style>
  <w:style w:type="paragraph" w:styleId="Footer">
    <w:name w:val="footer"/>
    <w:basedOn w:val="Normal"/>
    <w:link w:val="FooterChar"/>
    <w:uiPriority w:val="99"/>
    <w:unhideWhenUsed/>
    <w:rsid w:val="000A76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6CB"/>
    <w:rPr>
      <w:sz w:val="22"/>
    </w:rPr>
  </w:style>
  <w:style w:type="character" w:customStyle="1" w:styleId="CaptionChar">
    <w:name w:val="Caption Char"/>
    <w:basedOn w:val="DefaultParagraphFont"/>
    <w:link w:val="Caption"/>
    <w:uiPriority w:val="10"/>
    <w:rsid w:val="00145CC6"/>
    <w:rPr>
      <w:b/>
      <w:iCs/>
      <w:szCs w:val="18"/>
    </w:rPr>
  </w:style>
  <w:style w:type="table" w:styleId="TableGrid8">
    <w:name w:val="Table Grid 8"/>
    <w:basedOn w:val="TableNormal"/>
    <w:unhideWhenUsed/>
    <w:rsid w:val="009D4D15"/>
    <w:pPr>
      <w:spacing w:line="360" w:lineRule="auto"/>
      <w:jc w:val="both"/>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ghtGrid-Accent1">
    <w:name w:val="Light Grid Accent 1"/>
    <w:basedOn w:val="TableNormal"/>
    <w:uiPriority w:val="62"/>
    <w:rsid w:val="00AB3A87"/>
    <w:pPr>
      <w:spacing w:after="0" w:line="240" w:lineRule="auto"/>
    </w:pPr>
    <w:rPr>
      <w:color w:val="auto"/>
      <w:sz w:val="22"/>
      <w:szCs w:val="22"/>
      <w:lang w:val="en-US"/>
    </w:rPr>
    <w:tblPr>
      <w:tblStyleRowBandSize w:val="1"/>
      <w:tblStyleColBandSize w:val="1"/>
      <w:tblBorders>
        <w:top w:val="single" w:sz="8" w:space="0" w:color="C9DD03" w:themeColor="accent1"/>
        <w:left w:val="single" w:sz="8" w:space="0" w:color="C9DD03" w:themeColor="accent1"/>
        <w:bottom w:val="single" w:sz="8" w:space="0" w:color="C9DD03" w:themeColor="accent1"/>
        <w:right w:val="single" w:sz="8" w:space="0" w:color="C9DD03" w:themeColor="accent1"/>
        <w:insideH w:val="single" w:sz="8" w:space="0" w:color="C9DD03" w:themeColor="accent1"/>
        <w:insideV w:val="single" w:sz="8" w:space="0" w:color="C9DD0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DD03" w:themeColor="accent1"/>
          <w:left w:val="single" w:sz="8" w:space="0" w:color="C9DD03" w:themeColor="accent1"/>
          <w:bottom w:val="single" w:sz="18" w:space="0" w:color="C9DD03" w:themeColor="accent1"/>
          <w:right w:val="single" w:sz="8" w:space="0" w:color="C9DD03" w:themeColor="accent1"/>
          <w:insideH w:val="nil"/>
          <w:insideV w:val="single" w:sz="8" w:space="0" w:color="C9DD0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DD03" w:themeColor="accent1"/>
          <w:left w:val="single" w:sz="8" w:space="0" w:color="C9DD03" w:themeColor="accent1"/>
          <w:bottom w:val="single" w:sz="8" w:space="0" w:color="C9DD03" w:themeColor="accent1"/>
          <w:right w:val="single" w:sz="8" w:space="0" w:color="C9DD03" w:themeColor="accent1"/>
          <w:insideH w:val="nil"/>
          <w:insideV w:val="single" w:sz="8" w:space="0" w:color="C9DD0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DD03" w:themeColor="accent1"/>
          <w:left w:val="single" w:sz="8" w:space="0" w:color="C9DD03" w:themeColor="accent1"/>
          <w:bottom w:val="single" w:sz="8" w:space="0" w:color="C9DD03" w:themeColor="accent1"/>
          <w:right w:val="single" w:sz="8" w:space="0" w:color="C9DD03" w:themeColor="accent1"/>
        </w:tcBorders>
      </w:tcPr>
    </w:tblStylePr>
    <w:tblStylePr w:type="band1Vert">
      <w:tblPr/>
      <w:tcPr>
        <w:tcBorders>
          <w:top w:val="single" w:sz="8" w:space="0" w:color="C9DD03" w:themeColor="accent1"/>
          <w:left w:val="single" w:sz="8" w:space="0" w:color="C9DD03" w:themeColor="accent1"/>
          <w:bottom w:val="single" w:sz="8" w:space="0" w:color="C9DD03" w:themeColor="accent1"/>
          <w:right w:val="single" w:sz="8" w:space="0" w:color="C9DD03" w:themeColor="accent1"/>
        </w:tcBorders>
        <w:shd w:val="clear" w:color="auto" w:fill="F7FEB9" w:themeFill="accent1" w:themeFillTint="3F"/>
      </w:tcPr>
    </w:tblStylePr>
    <w:tblStylePr w:type="band1Horz">
      <w:tblPr/>
      <w:tcPr>
        <w:tcBorders>
          <w:top w:val="single" w:sz="8" w:space="0" w:color="C9DD03" w:themeColor="accent1"/>
          <w:left w:val="single" w:sz="8" w:space="0" w:color="C9DD03" w:themeColor="accent1"/>
          <w:bottom w:val="single" w:sz="8" w:space="0" w:color="C9DD03" w:themeColor="accent1"/>
          <w:right w:val="single" w:sz="8" w:space="0" w:color="C9DD03" w:themeColor="accent1"/>
          <w:insideV w:val="single" w:sz="8" w:space="0" w:color="C9DD03" w:themeColor="accent1"/>
        </w:tcBorders>
        <w:shd w:val="clear" w:color="auto" w:fill="F7FEB9" w:themeFill="accent1" w:themeFillTint="3F"/>
      </w:tcPr>
    </w:tblStylePr>
    <w:tblStylePr w:type="band2Horz">
      <w:tblPr/>
      <w:tcPr>
        <w:tcBorders>
          <w:top w:val="single" w:sz="8" w:space="0" w:color="C9DD03" w:themeColor="accent1"/>
          <w:left w:val="single" w:sz="8" w:space="0" w:color="C9DD03" w:themeColor="accent1"/>
          <w:bottom w:val="single" w:sz="8" w:space="0" w:color="C9DD03" w:themeColor="accent1"/>
          <w:right w:val="single" w:sz="8" w:space="0" w:color="C9DD03" w:themeColor="accent1"/>
          <w:insideV w:val="single" w:sz="8" w:space="0" w:color="C9DD03" w:themeColor="accent1"/>
        </w:tcBorders>
      </w:tcPr>
    </w:tblStylePr>
  </w:style>
  <w:style w:type="character" w:customStyle="1" w:styleId="ListParagraphChar">
    <w:name w:val="List Paragraph Char"/>
    <w:aliases w:val="SOW List Char,Table of contents numbered Char,lp1 Char,List Paragraph1 Char,lp11 Char,Use Case List Paragraph Char,FooterText Char,numbered Char,Paragraphe de liste1 Char,Bulletr List Paragraph Char,列出段落 Char,列出段落1 Char,Bullet 1 Char"/>
    <w:basedOn w:val="DefaultParagraphFont"/>
    <w:link w:val="ListParagraph"/>
    <w:qFormat/>
    <w:rsid w:val="00E02ECC"/>
    <w:rPr>
      <w:sz w:val="22"/>
      <w:szCs w:val="22"/>
    </w:rPr>
  </w:style>
  <w:style w:type="paragraph" w:styleId="Quote">
    <w:name w:val="Quote"/>
    <w:basedOn w:val="Normal"/>
    <w:next w:val="Normal"/>
    <w:link w:val="QuoteChar"/>
    <w:uiPriority w:val="29"/>
    <w:qFormat/>
    <w:rsid w:val="00EF15B0"/>
    <w:pPr>
      <w:spacing w:after="0" w:line="240" w:lineRule="auto"/>
    </w:pPr>
    <w:rPr>
      <w:rFonts w:cs="Arial"/>
      <w:b/>
      <w:bCs/>
      <w:color w:val="FFFFFF" w:themeColor="background1"/>
      <w:sz w:val="40"/>
      <w:szCs w:val="40"/>
      <w:lang w:val="en-US"/>
    </w:rPr>
  </w:style>
  <w:style w:type="character" w:customStyle="1" w:styleId="QuoteChar">
    <w:name w:val="Quote Char"/>
    <w:basedOn w:val="DefaultParagraphFont"/>
    <w:link w:val="Quote"/>
    <w:uiPriority w:val="29"/>
    <w:rsid w:val="00EF15B0"/>
    <w:rPr>
      <w:rFonts w:cs="Arial"/>
      <w:b/>
      <w:bCs/>
      <w:color w:val="FFFFFF" w:themeColor="background1"/>
      <w:sz w:val="40"/>
      <w:szCs w:val="40"/>
      <w:lang w:val="en-US"/>
    </w:rPr>
  </w:style>
  <w:style w:type="paragraph" w:customStyle="1" w:styleId="Default">
    <w:name w:val="Default"/>
    <w:rsid w:val="00B11562"/>
    <w:pPr>
      <w:autoSpaceDE w:val="0"/>
      <w:autoSpaceDN w:val="0"/>
      <w:adjustRightInd w:val="0"/>
      <w:spacing w:after="0" w:line="240" w:lineRule="auto"/>
    </w:pPr>
    <w:rPr>
      <w:rFonts w:ascii="Segoe UI Symbol" w:hAnsi="Segoe UI Symbol" w:cs="Segoe UI Symbol"/>
      <w:color w:val="000000"/>
      <w:sz w:val="24"/>
      <w:szCs w:val="24"/>
      <w:lang w:val="en-GB"/>
      <w14:ligatures w14:val="standardContextual"/>
    </w:rPr>
  </w:style>
  <w:style w:type="paragraph" w:styleId="BodyText">
    <w:name w:val="Body Text"/>
    <w:basedOn w:val="Normal"/>
    <w:link w:val="BodyTextChar"/>
    <w:uiPriority w:val="1"/>
    <w:qFormat/>
    <w:rsid w:val="00125369"/>
    <w:pPr>
      <w:widowControl w:val="0"/>
      <w:autoSpaceDE w:val="0"/>
      <w:autoSpaceDN w:val="0"/>
      <w:spacing w:after="0" w:line="240" w:lineRule="auto"/>
      <w:jc w:val="left"/>
    </w:pPr>
    <w:rPr>
      <w:rFonts w:eastAsia="Arial" w:cstheme="minorHAnsi"/>
      <w:color w:val="auto"/>
      <w:sz w:val="18"/>
      <w:szCs w:val="18"/>
      <w:lang w:val="en-US"/>
    </w:rPr>
  </w:style>
  <w:style w:type="character" w:customStyle="1" w:styleId="BodyTextChar">
    <w:name w:val="Body Text Char"/>
    <w:basedOn w:val="DefaultParagraphFont"/>
    <w:link w:val="BodyText"/>
    <w:uiPriority w:val="1"/>
    <w:rsid w:val="00125369"/>
    <w:rPr>
      <w:rFonts w:eastAsia="Arial" w:cstheme="minorHAnsi"/>
      <w:color w:val="auto"/>
      <w:sz w:val="18"/>
      <w:szCs w:val="18"/>
      <w:lang w:val="en-US"/>
    </w:rPr>
  </w:style>
  <w:style w:type="paragraph" w:customStyle="1" w:styleId="TableParagraph">
    <w:name w:val="Table Paragraph"/>
    <w:basedOn w:val="Normal"/>
    <w:uiPriority w:val="1"/>
    <w:qFormat/>
    <w:rsid w:val="00B11562"/>
    <w:pPr>
      <w:widowControl w:val="0"/>
      <w:autoSpaceDE w:val="0"/>
      <w:autoSpaceDN w:val="0"/>
      <w:spacing w:after="0" w:line="240" w:lineRule="auto"/>
      <w:jc w:val="left"/>
    </w:pPr>
    <w:rPr>
      <w:rFonts w:ascii="Arial" w:eastAsia="Arial" w:hAnsi="Arial" w:cs="Arial"/>
      <w:color w:val="auto"/>
      <w:lang w:val="en-US"/>
    </w:rPr>
  </w:style>
  <w:style w:type="paragraph" w:styleId="Revision">
    <w:name w:val="Revision"/>
    <w:hidden/>
    <w:uiPriority w:val="99"/>
    <w:semiHidden/>
    <w:rsid w:val="00B11562"/>
    <w:pPr>
      <w:spacing w:after="0" w:line="240" w:lineRule="auto"/>
    </w:pPr>
  </w:style>
  <w:style w:type="character" w:styleId="CommentReference">
    <w:name w:val="annotation reference"/>
    <w:basedOn w:val="DefaultParagraphFont"/>
    <w:uiPriority w:val="99"/>
    <w:semiHidden/>
    <w:unhideWhenUsed/>
    <w:rsid w:val="00B11562"/>
    <w:rPr>
      <w:sz w:val="16"/>
      <w:szCs w:val="16"/>
    </w:rPr>
  </w:style>
  <w:style w:type="paragraph" w:styleId="CommentText">
    <w:name w:val="annotation text"/>
    <w:basedOn w:val="Normal"/>
    <w:link w:val="CommentTextChar"/>
    <w:uiPriority w:val="99"/>
    <w:unhideWhenUsed/>
    <w:rsid w:val="00B11562"/>
    <w:pPr>
      <w:spacing w:line="240" w:lineRule="auto"/>
    </w:pPr>
  </w:style>
  <w:style w:type="character" w:customStyle="1" w:styleId="CommentTextChar">
    <w:name w:val="Comment Text Char"/>
    <w:basedOn w:val="DefaultParagraphFont"/>
    <w:link w:val="CommentText"/>
    <w:uiPriority w:val="99"/>
    <w:rsid w:val="00B11562"/>
  </w:style>
  <w:style w:type="paragraph" w:styleId="CommentSubject">
    <w:name w:val="annotation subject"/>
    <w:basedOn w:val="CommentText"/>
    <w:next w:val="CommentText"/>
    <w:link w:val="CommentSubjectChar"/>
    <w:uiPriority w:val="99"/>
    <w:semiHidden/>
    <w:unhideWhenUsed/>
    <w:rsid w:val="00B11562"/>
    <w:rPr>
      <w:b/>
      <w:bCs/>
    </w:rPr>
  </w:style>
  <w:style w:type="character" w:customStyle="1" w:styleId="CommentSubjectChar">
    <w:name w:val="Comment Subject Char"/>
    <w:basedOn w:val="CommentTextChar"/>
    <w:link w:val="CommentSubject"/>
    <w:uiPriority w:val="99"/>
    <w:semiHidden/>
    <w:rsid w:val="00B11562"/>
    <w:rPr>
      <w:b/>
      <w:bCs/>
    </w:rPr>
  </w:style>
  <w:style w:type="paragraph" w:customStyle="1" w:styleId="04BODYCOPYTEXT">
    <w:name w:val="04_BODY COPY TEXT"/>
    <w:basedOn w:val="BodyText"/>
    <w:qFormat/>
    <w:rsid w:val="00B11562"/>
    <w:pPr>
      <w:widowControl/>
      <w:adjustRightInd w:val="0"/>
      <w:spacing w:before="120" w:after="240" w:line="264" w:lineRule="auto"/>
      <w:ind w:right="-4"/>
      <w:jc w:val="both"/>
    </w:pPr>
    <w:rPr>
      <w:rFonts w:ascii="Gotham Light" w:eastAsia="Verdana" w:hAnsi="Gotham Light"/>
      <w:color w:val="5E6167" w:themeColor="text1"/>
      <w:sz w:val="20"/>
      <w:szCs w:val="20"/>
      <w:lang w:eastAsia="en-ZA" w:bidi="en-US"/>
    </w:rPr>
  </w:style>
  <w:style w:type="paragraph" w:customStyle="1" w:styleId="05BULLETCOPY">
    <w:name w:val="05_BULLET COPY"/>
    <w:basedOn w:val="BodyText"/>
    <w:qFormat/>
    <w:rsid w:val="00B11562"/>
    <w:pPr>
      <w:widowControl/>
      <w:numPr>
        <w:numId w:val="2"/>
      </w:numPr>
      <w:adjustRightInd w:val="0"/>
      <w:spacing w:line="264" w:lineRule="auto"/>
      <w:ind w:right="-6"/>
      <w:jc w:val="both"/>
    </w:pPr>
    <w:rPr>
      <w:rFonts w:ascii="Gotham Light" w:eastAsia="Verdana" w:hAnsi="Gotham Light"/>
      <w:color w:val="5E6167" w:themeColor="text1"/>
      <w:sz w:val="22"/>
      <w:szCs w:val="22"/>
      <w:lang w:eastAsia="en-ZA" w:bidi="en-US"/>
    </w:rPr>
  </w:style>
  <w:style w:type="paragraph" w:styleId="NormalWeb">
    <w:name w:val="Normal (Web)"/>
    <w:basedOn w:val="Normal"/>
    <w:uiPriority w:val="99"/>
    <w:semiHidden/>
    <w:unhideWhenUsed/>
    <w:rsid w:val="00582B52"/>
    <w:rPr>
      <w:rFonts w:ascii="Times New Roman" w:hAnsi="Times New Roman" w:cs="Times New Roman"/>
      <w:sz w:val="24"/>
      <w:szCs w:val="24"/>
    </w:rPr>
  </w:style>
  <w:style w:type="paragraph" w:customStyle="1" w:styleId="Tablebullet">
    <w:name w:val="Table bullet"/>
    <w:basedOn w:val="ListParagraph"/>
    <w:link w:val="TablebulletChar"/>
    <w:qFormat/>
    <w:rsid w:val="00E51820"/>
    <w:pPr>
      <w:spacing w:after="0"/>
    </w:pPr>
    <w:rPr>
      <w:sz w:val="18"/>
      <w:szCs w:val="18"/>
    </w:rPr>
  </w:style>
  <w:style w:type="character" w:customStyle="1" w:styleId="TablebulletChar">
    <w:name w:val="Table bullet Char"/>
    <w:basedOn w:val="ListParagraphChar"/>
    <w:link w:val="Tablebullet"/>
    <w:rsid w:val="00E51820"/>
    <w:rPr>
      <w:sz w:val="18"/>
      <w:szCs w:val="18"/>
    </w:rPr>
  </w:style>
  <w:style w:type="character" w:customStyle="1" w:styleId="citation-118">
    <w:name w:val="citation-118"/>
    <w:basedOn w:val="DefaultParagraphFont"/>
    <w:rsid w:val="00E1501E"/>
  </w:style>
  <w:style w:type="character" w:customStyle="1" w:styleId="citation-117">
    <w:name w:val="citation-117"/>
    <w:basedOn w:val="DefaultParagraphFont"/>
    <w:rsid w:val="00E1501E"/>
  </w:style>
  <w:style w:type="character" w:customStyle="1" w:styleId="citation-116">
    <w:name w:val="citation-116"/>
    <w:basedOn w:val="DefaultParagraphFont"/>
    <w:rsid w:val="00E1501E"/>
  </w:style>
  <w:style w:type="character" w:customStyle="1" w:styleId="citation-115">
    <w:name w:val="citation-115"/>
    <w:basedOn w:val="DefaultParagraphFont"/>
    <w:rsid w:val="00E1501E"/>
  </w:style>
  <w:style w:type="character" w:customStyle="1" w:styleId="citation-114">
    <w:name w:val="citation-114"/>
    <w:basedOn w:val="DefaultParagraphFont"/>
    <w:rsid w:val="00E1501E"/>
  </w:style>
  <w:style w:type="character" w:customStyle="1" w:styleId="citation-113">
    <w:name w:val="citation-113"/>
    <w:basedOn w:val="DefaultParagraphFont"/>
    <w:rsid w:val="00E1501E"/>
  </w:style>
  <w:style w:type="character" w:customStyle="1" w:styleId="citation-112">
    <w:name w:val="citation-112"/>
    <w:basedOn w:val="DefaultParagraphFont"/>
    <w:rsid w:val="00E1501E"/>
  </w:style>
  <w:style w:type="character" w:customStyle="1" w:styleId="citation-111">
    <w:name w:val="citation-111"/>
    <w:basedOn w:val="DefaultParagraphFont"/>
    <w:rsid w:val="00E1501E"/>
  </w:style>
  <w:style w:type="character" w:customStyle="1" w:styleId="citation-110">
    <w:name w:val="citation-110"/>
    <w:basedOn w:val="DefaultParagraphFont"/>
    <w:rsid w:val="00E1501E"/>
  </w:style>
  <w:style w:type="character" w:customStyle="1" w:styleId="citation-109">
    <w:name w:val="citation-109"/>
    <w:basedOn w:val="DefaultParagraphFont"/>
    <w:rsid w:val="00E1501E"/>
  </w:style>
  <w:style w:type="character" w:customStyle="1" w:styleId="citation-108">
    <w:name w:val="citation-108"/>
    <w:basedOn w:val="DefaultParagraphFont"/>
    <w:rsid w:val="00E1501E"/>
  </w:style>
  <w:style w:type="character" w:customStyle="1" w:styleId="citation-107">
    <w:name w:val="citation-107"/>
    <w:basedOn w:val="DefaultParagraphFont"/>
    <w:rsid w:val="00E1501E"/>
  </w:style>
  <w:style w:type="character" w:customStyle="1" w:styleId="citation-106">
    <w:name w:val="citation-106"/>
    <w:basedOn w:val="DefaultParagraphFont"/>
    <w:rsid w:val="00E1501E"/>
  </w:style>
  <w:style w:type="character" w:customStyle="1" w:styleId="citation-105">
    <w:name w:val="citation-105"/>
    <w:basedOn w:val="DefaultParagraphFont"/>
    <w:rsid w:val="00E1501E"/>
  </w:style>
  <w:style w:type="paragraph" w:styleId="TOC4">
    <w:name w:val="toc 4"/>
    <w:basedOn w:val="Normal"/>
    <w:next w:val="Normal"/>
    <w:autoRedefine/>
    <w:uiPriority w:val="39"/>
    <w:unhideWhenUsed/>
    <w:rsid w:val="00B76F15"/>
    <w:pPr>
      <w:spacing w:after="0"/>
      <w:ind w:left="440"/>
      <w:jc w:val="left"/>
    </w:pPr>
    <w:rPr>
      <w:rFonts w:cstheme="minorHAnsi"/>
      <w:sz w:val="20"/>
      <w:szCs w:val="20"/>
    </w:rPr>
  </w:style>
  <w:style w:type="paragraph" w:styleId="TOC5">
    <w:name w:val="toc 5"/>
    <w:basedOn w:val="Normal"/>
    <w:next w:val="Normal"/>
    <w:autoRedefine/>
    <w:uiPriority w:val="39"/>
    <w:unhideWhenUsed/>
    <w:rsid w:val="00B76F15"/>
    <w:pPr>
      <w:spacing w:after="0"/>
      <w:ind w:left="660"/>
      <w:jc w:val="left"/>
    </w:pPr>
    <w:rPr>
      <w:rFonts w:cstheme="minorHAnsi"/>
      <w:sz w:val="20"/>
      <w:szCs w:val="20"/>
    </w:rPr>
  </w:style>
  <w:style w:type="paragraph" w:styleId="TOC6">
    <w:name w:val="toc 6"/>
    <w:basedOn w:val="Normal"/>
    <w:next w:val="Normal"/>
    <w:autoRedefine/>
    <w:uiPriority w:val="39"/>
    <w:unhideWhenUsed/>
    <w:rsid w:val="00B76F15"/>
    <w:pPr>
      <w:spacing w:after="0"/>
      <w:ind w:left="880"/>
      <w:jc w:val="left"/>
    </w:pPr>
    <w:rPr>
      <w:rFonts w:cstheme="minorHAnsi"/>
      <w:sz w:val="20"/>
      <w:szCs w:val="20"/>
    </w:rPr>
  </w:style>
  <w:style w:type="paragraph" w:styleId="TOC7">
    <w:name w:val="toc 7"/>
    <w:basedOn w:val="Normal"/>
    <w:next w:val="Normal"/>
    <w:autoRedefine/>
    <w:uiPriority w:val="39"/>
    <w:unhideWhenUsed/>
    <w:rsid w:val="00B76F15"/>
    <w:pPr>
      <w:spacing w:after="0"/>
      <w:ind w:left="1100"/>
      <w:jc w:val="left"/>
    </w:pPr>
    <w:rPr>
      <w:rFonts w:cstheme="minorHAnsi"/>
      <w:sz w:val="20"/>
      <w:szCs w:val="20"/>
    </w:rPr>
  </w:style>
  <w:style w:type="paragraph" w:styleId="TOC8">
    <w:name w:val="toc 8"/>
    <w:basedOn w:val="Normal"/>
    <w:next w:val="Normal"/>
    <w:autoRedefine/>
    <w:uiPriority w:val="39"/>
    <w:unhideWhenUsed/>
    <w:rsid w:val="00B76F15"/>
    <w:pPr>
      <w:spacing w:after="0"/>
      <w:ind w:left="1320"/>
      <w:jc w:val="left"/>
    </w:pPr>
    <w:rPr>
      <w:rFonts w:cstheme="minorHAnsi"/>
      <w:sz w:val="20"/>
      <w:szCs w:val="20"/>
    </w:rPr>
  </w:style>
  <w:style w:type="paragraph" w:styleId="TOC9">
    <w:name w:val="toc 9"/>
    <w:basedOn w:val="Normal"/>
    <w:next w:val="Normal"/>
    <w:autoRedefine/>
    <w:uiPriority w:val="39"/>
    <w:unhideWhenUsed/>
    <w:rsid w:val="00B76F15"/>
    <w:pPr>
      <w:spacing w:after="0"/>
      <w:ind w:left="1540"/>
      <w:jc w:val="left"/>
    </w:pPr>
    <w:rPr>
      <w:rFonts w:cstheme="minorHAnsi"/>
      <w:sz w:val="20"/>
      <w:szCs w:val="20"/>
    </w:rPr>
  </w:style>
  <w:style w:type="paragraph" w:styleId="FootnoteText">
    <w:name w:val="footnote text"/>
    <w:basedOn w:val="Normal"/>
    <w:link w:val="FootnoteTextChar"/>
    <w:uiPriority w:val="99"/>
    <w:semiHidden/>
    <w:unhideWhenUsed/>
    <w:rsid w:val="007106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06D1"/>
  </w:style>
  <w:style w:type="character" w:styleId="FootnoteReference">
    <w:name w:val="footnote reference"/>
    <w:basedOn w:val="DefaultParagraphFont"/>
    <w:uiPriority w:val="99"/>
    <w:semiHidden/>
    <w:unhideWhenUsed/>
    <w:rsid w:val="007106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0775">
      <w:bodyDiv w:val="1"/>
      <w:marLeft w:val="0"/>
      <w:marRight w:val="0"/>
      <w:marTop w:val="0"/>
      <w:marBottom w:val="0"/>
      <w:divBdr>
        <w:top w:val="none" w:sz="0" w:space="0" w:color="auto"/>
        <w:left w:val="none" w:sz="0" w:space="0" w:color="auto"/>
        <w:bottom w:val="none" w:sz="0" w:space="0" w:color="auto"/>
        <w:right w:val="none" w:sz="0" w:space="0" w:color="auto"/>
      </w:divBdr>
    </w:div>
    <w:div w:id="34745945">
      <w:bodyDiv w:val="1"/>
      <w:marLeft w:val="0"/>
      <w:marRight w:val="0"/>
      <w:marTop w:val="0"/>
      <w:marBottom w:val="0"/>
      <w:divBdr>
        <w:top w:val="none" w:sz="0" w:space="0" w:color="auto"/>
        <w:left w:val="none" w:sz="0" w:space="0" w:color="auto"/>
        <w:bottom w:val="none" w:sz="0" w:space="0" w:color="auto"/>
        <w:right w:val="none" w:sz="0" w:space="0" w:color="auto"/>
      </w:divBdr>
    </w:div>
    <w:div w:id="191773875">
      <w:bodyDiv w:val="1"/>
      <w:marLeft w:val="0"/>
      <w:marRight w:val="0"/>
      <w:marTop w:val="0"/>
      <w:marBottom w:val="0"/>
      <w:divBdr>
        <w:top w:val="none" w:sz="0" w:space="0" w:color="auto"/>
        <w:left w:val="none" w:sz="0" w:space="0" w:color="auto"/>
        <w:bottom w:val="none" w:sz="0" w:space="0" w:color="auto"/>
        <w:right w:val="none" w:sz="0" w:space="0" w:color="auto"/>
      </w:divBdr>
    </w:div>
    <w:div w:id="479034528">
      <w:bodyDiv w:val="1"/>
      <w:marLeft w:val="0"/>
      <w:marRight w:val="0"/>
      <w:marTop w:val="0"/>
      <w:marBottom w:val="0"/>
      <w:divBdr>
        <w:top w:val="none" w:sz="0" w:space="0" w:color="auto"/>
        <w:left w:val="none" w:sz="0" w:space="0" w:color="auto"/>
        <w:bottom w:val="none" w:sz="0" w:space="0" w:color="auto"/>
        <w:right w:val="none" w:sz="0" w:space="0" w:color="auto"/>
      </w:divBdr>
    </w:div>
    <w:div w:id="1035042390">
      <w:bodyDiv w:val="1"/>
      <w:marLeft w:val="0"/>
      <w:marRight w:val="0"/>
      <w:marTop w:val="0"/>
      <w:marBottom w:val="0"/>
      <w:divBdr>
        <w:top w:val="none" w:sz="0" w:space="0" w:color="auto"/>
        <w:left w:val="none" w:sz="0" w:space="0" w:color="auto"/>
        <w:bottom w:val="none" w:sz="0" w:space="0" w:color="auto"/>
        <w:right w:val="none" w:sz="0" w:space="0" w:color="auto"/>
      </w:divBdr>
    </w:div>
    <w:div w:id="112172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ED1958-6492-48E4-9292-48F7BD16D20E}" type="doc">
      <dgm:prSet loTypeId="urn:microsoft.com/office/officeart/2005/8/layout/matrix1" loCatId="matrix" qsTypeId="urn:microsoft.com/office/officeart/2005/8/quickstyle/simple1" qsCatId="simple" csTypeId="urn:microsoft.com/office/officeart/2005/8/colors/colorful4" csCatId="colorful" phldr="1"/>
      <dgm:spPr/>
      <dgm:t>
        <a:bodyPr/>
        <a:lstStyle/>
        <a:p>
          <a:endParaRPr lang="en-ZA"/>
        </a:p>
      </dgm:t>
    </dgm:pt>
    <dgm:pt modelId="{0E5B1B97-5F94-4655-A992-AE227D62FE78}">
      <dgm:prSet phldrT="[Text]"/>
      <dgm:spPr>
        <a:solidFill>
          <a:schemeClr val="accent2">
            <a:lumMod val="20000"/>
            <a:lumOff val="80000"/>
          </a:schemeClr>
        </a:solidFill>
      </dgm:spPr>
      <dgm:t>
        <a:bodyPr/>
        <a:lstStyle/>
        <a:p>
          <a:r>
            <a:rPr lang="en-ZA" b="1"/>
            <a:t>Risk-based IA framework for AI models</a:t>
          </a:r>
        </a:p>
      </dgm:t>
    </dgm:pt>
    <dgm:pt modelId="{0B56F5BC-FBE0-46F8-95EB-FFA8A4BFA0CF}" type="parTrans" cxnId="{60BC06CE-3821-4A5D-A4DD-6FD48CEED2EF}">
      <dgm:prSet/>
      <dgm:spPr/>
      <dgm:t>
        <a:bodyPr/>
        <a:lstStyle/>
        <a:p>
          <a:endParaRPr lang="en-ZA"/>
        </a:p>
      </dgm:t>
    </dgm:pt>
    <dgm:pt modelId="{31740A7C-F4B1-4F4C-A7B3-8E634BC476C3}" type="sibTrans" cxnId="{60BC06CE-3821-4A5D-A4DD-6FD48CEED2EF}">
      <dgm:prSet/>
      <dgm:spPr/>
      <dgm:t>
        <a:bodyPr/>
        <a:lstStyle/>
        <a:p>
          <a:endParaRPr lang="en-ZA"/>
        </a:p>
      </dgm:t>
    </dgm:pt>
    <dgm:pt modelId="{7C592CAC-38F1-4166-801E-CD6E9A94286C}">
      <dgm:prSet phldrT="[Text]"/>
      <dgm:spPr/>
      <dgm:t>
        <a:bodyPr/>
        <a:lstStyle/>
        <a:p>
          <a:r>
            <a:rPr lang="en-ZA"/>
            <a:t>GOVERNANCE AND OVERSIGHT</a:t>
          </a:r>
        </a:p>
      </dgm:t>
    </dgm:pt>
    <dgm:pt modelId="{0D5868DE-085A-4524-BA08-31CC52E1537A}" type="parTrans" cxnId="{86F10D5B-9D25-4B2D-A452-A0F48EF3282F}">
      <dgm:prSet/>
      <dgm:spPr/>
      <dgm:t>
        <a:bodyPr/>
        <a:lstStyle/>
        <a:p>
          <a:endParaRPr lang="en-ZA"/>
        </a:p>
      </dgm:t>
    </dgm:pt>
    <dgm:pt modelId="{B1DE1A26-6994-448F-9FBE-603D5B207412}" type="sibTrans" cxnId="{86F10D5B-9D25-4B2D-A452-A0F48EF3282F}">
      <dgm:prSet/>
      <dgm:spPr/>
      <dgm:t>
        <a:bodyPr/>
        <a:lstStyle/>
        <a:p>
          <a:endParaRPr lang="en-ZA"/>
        </a:p>
      </dgm:t>
    </dgm:pt>
    <dgm:pt modelId="{C4A23CF9-B985-49CE-AFB6-2B286C1DD447}">
      <dgm:prSet phldrT="[Text]"/>
      <dgm:spPr/>
      <dgm:t>
        <a:bodyPr/>
        <a:lstStyle/>
        <a:p>
          <a:r>
            <a:rPr lang="en-ZA"/>
            <a:t>LIFECYCLE ASSURANCE</a:t>
          </a:r>
        </a:p>
      </dgm:t>
    </dgm:pt>
    <dgm:pt modelId="{B55D54AC-3F40-4E74-8CD1-46CDD6458542}" type="parTrans" cxnId="{B65737BE-512A-430D-AE47-E42ABA8F8886}">
      <dgm:prSet/>
      <dgm:spPr/>
      <dgm:t>
        <a:bodyPr/>
        <a:lstStyle/>
        <a:p>
          <a:endParaRPr lang="en-ZA"/>
        </a:p>
      </dgm:t>
    </dgm:pt>
    <dgm:pt modelId="{A5083B15-B74D-4F7E-93B9-5BBF351D7EEB}" type="sibTrans" cxnId="{B65737BE-512A-430D-AE47-E42ABA8F8886}">
      <dgm:prSet/>
      <dgm:spPr/>
      <dgm:t>
        <a:bodyPr/>
        <a:lstStyle/>
        <a:p>
          <a:endParaRPr lang="en-ZA"/>
        </a:p>
      </dgm:t>
    </dgm:pt>
    <dgm:pt modelId="{25FF5395-9579-49CF-9E25-CEC9E4BAB7DF}">
      <dgm:prSet phldrT="[Text]"/>
      <dgm:spPr/>
      <dgm:t>
        <a:bodyPr/>
        <a:lstStyle/>
        <a:p>
          <a:r>
            <a:rPr lang="en-ZA"/>
            <a:t>REGULATORY COMPLIANCE</a:t>
          </a:r>
        </a:p>
      </dgm:t>
    </dgm:pt>
    <dgm:pt modelId="{4B3D15C4-CB99-4FB1-B1D4-00FA980876D0}" type="parTrans" cxnId="{A2B6A106-2F83-41BD-A54C-CB5E17410295}">
      <dgm:prSet/>
      <dgm:spPr/>
      <dgm:t>
        <a:bodyPr/>
        <a:lstStyle/>
        <a:p>
          <a:endParaRPr lang="en-ZA"/>
        </a:p>
      </dgm:t>
    </dgm:pt>
    <dgm:pt modelId="{DFEF3CFB-8521-4F1C-BF8D-35D91CD67293}" type="sibTrans" cxnId="{A2B6A106-2F83-41BD-A54C-CB5E17410295}">
      <dgm:prSet/>
      <dgm:spPr/>
      <dgm:t>
        <a:bodyPr/>
        <a:lstStyle/>
        <a:p>
          <a:endParaRPr lang="en-ZA"/>
        </a:p>
      </dgm:t>
    </dgm:pt>
    <dgm:pt modelId="{4B3E413B-AC6B-4208-9EA7-E34D16938B17}">
      <dgm:prSet phldrT="[Text]"/>
      <dgm:spPr/>
      <dgm:t>
        <a:bodyPr/>
        <a:lstStyle/>
        <a:p>
          <a:r>
            <a:rPr lang="en-ZA"/>
            <a:t>CONTROL ASSURANCE</a:t>
          </a:r>
        </a:p>
      </dgm:t>
    </dgm:pt>
    <dgm:pt modelId="{E0A4C918-376E-461A-975B-896FE2468187}" type="parTrans" cxnId="{88C29305-F5F2-4B2A-BE32-5D8225261BB6}">
      <dgm:prSet/>
      <dgm:spPr/>
      <dgm:t>
        <a:bodyPr/>
        <a:lstStyle/>
        <a:p>
          <a:endParaRPr lang="en-ZA"/>
        </a:p>
      </dgm:t>
    </dgm:pt>
    <dgm:pt modelId="{1DB8336C-06E3-485A-B9C4-9A0BCF9C8055}" type="sibTrans" cxnId="{88C29305-F5F2-4B2A-BE32-5D8225261BB6}">
      <dgm:prSet/>
      <dgm:spPr/>
      <dgm:t>
        <a:bodyPr/>
        <a:lstStyle/>
        <a:p>
          <a:endParaRPr lang="en-ZA"/>
        </a:p>
      </dgm:t>
    </dgm:pt>
    <dgm:pt modelId="{651E31FD-5F57-4169-A168-C8DA5298A9D7}">
      <dgm:prSet phldrT="[Text]"/>
      <dgm:spPr/>
      <dgm:t>
        <a:bodyPr/>
        <a:lstStyle/>
        <a:p>
          <a:r>
            <a:rPr lang="en-ZA"/>
            <a:t>Ethics</a:t>
          </a:r>
        </a:p>
      </dgm:t>
    </dgm:pt>
    <dgm:pt modelId="{202A7C5C-23A4-4263-A9F8-93ADF95BE661}" type="parTrans" cxnId="{86C6B470-DC9C-4A53-AB31-F24FD212D610}">
      <dgm:prSet/>
      <dgm:spPr/>
      <dgm:t>
        <a:bodyPr/>
        <a:lstStyle/>
        <a:p>
          <a:endParaRPr lang="en-ZA"/>
        </a:p>
      </dgm:t>
    </dgm:pt>
    <dgm:pt modelId="{75F031C6-69F5-4CE1-BC2C-9D84C83F5681}" type="sibTrans" cxnId="{86C6B470-DC9C-4A53-AB31-F24FD212D610}">
      <dgm:prSet/>
      <dgm:spPr/>
      <dgm:t>
        <a:bodyPr/>
        <a:lstStyle/>
        <a:p>
          <a:endParaRPr lang="en-ZA"/>
        </a:p>
      </dgm:t>
    </dgm:pt>
    <dgm:pt modelId="{18550545-7CE8-495C-9ADA-94ADB8C86A60}">
      <dgm:prSet phldrT="[Text]"/>
      <dgm:spPr/>
      <dgm:t>
        <a:bodyPr/>
        <a:lstStyle/>
        <a:p>
          <a:r>
            <a:rPr lang="en-ZA"/>
            <a:t>Bias mitigation</a:t>
          </a:r>
        </a:p>
      </dgm:t>
    </dgm:pt>
    <dgm:pt modelId="{30556657-D1FA-49D7-BF97-33B590309D95}" type="parTrans" cxnId="{003DC89A-59C3-4F0D-9E9A-3F85E41D98CC}">
      <dgm:prSet/>
      <dgm:spPr/>
      <dgm:t>
        <a:bodyPr/>
        <a:lstStyle/>
        <a:p>
          <a:endParaRPr lang="en-ZA"/>
        </a:p>
      </dgm:t>
    </dgm:pt>
    <dgm:pt modelId="{09149269-44E4-4D2D-9F16-AA7EF8E1FB78}" type="sibTrans" cxnId="{003DC89A-59C3-4F0D-9E9A-3F85E41D98CC}">
      <dgm:prSet/>
      <dgm:spPr/>
      <dgm:t>
        <a:bodyPr/>
        <a:lstStyle/>
        <a:p>
          <a:endParaRPr lang="en-ZA"/>
        </a:p>
      </dgm:t>
    </dgm:pt>
    <dgm:pt modelId="{EC4DBA40-3FE7-4260-B9DD-7AE8D717757B}">
      <dgm:prSet phldrT="[Text]"/>
      <dgm:spPr/>
      <dgm:t>
        <a:bodyPr/>
        <a:lstStyle/>
        <a:p>
          <a:r>
            <a:rPr lang="en-ZA"/>
            <a:t>Human-in-the-loop processes</a:t>
          </a:r>
        </a:p>
      </dgm:t>
    </dgm:pt>
    <dgm:pt modelId="{0784033C-73DA-4049-A9C0-6C97A412E4F9}" type="parTrans" cxnId="{4928FE03-6C5E-4657-BA5D-3903C7B8EB12}">
      <dgm:prSet/>
      <dgm:spPr/>
      <dgm:t>
        <a:bodyPr/>
        <a:lstStyle/>
        <a:p>
          <a:endParaRPr lang="en-ZA"/>
        </a:p>
      </dgm:t>
    </dgm:pt>
    <dgm:pt modelId="{8AD8A03E-75ED-48E4-92C7-5D287D64B2C8}" type="sibTrans" cxnId="{4928FE03-6C5E-4657-BA5D-3903C7B8EB12}">
      <dgm:prSet/>
      <dgm:spPr/>
      <dgm:t>
        <a:bodyPr/>
        <a:lstStyle/>
        <a:p>
          <a:endParaRPr lang="en-ZA"/>
        </a:p>
      </dgm:t>
    </dgm:pt>
    <dgm:pt modelId="{346323D8-4E6F-4819-89CD-B0A5F7BE5EAF}">
      <dgm:prSet phldrT="[Text]"/>
      <dgm:spPr/>
      <dgm:t>
        <a:bodyPr/>
        <a:lstStyle/>
        <a:p>
          <a:r>
            <a:rPr lang="en-ZA"/>
            <a:t>From ideation to decommissioning</a:t>
          </a:r>
        </a:p>
      </dgm:t>
    </dgm:pt>
    <dgm:pt modelId="{EB136A2E-D2E4-4F5A-8E3D-A7DC4E855CEE}" type="parTrans" cxnId="{DD021BC0-DC2C-4A83-9E65-B4639E54AED5}">
      <dgm:prSet/>
      <dgm:spPr/>
      <dgm:t>
        <a:bodyPr/>
        <a:lstStyle/>
        <a:p>
          <a:endParaRPr lang="en-ZA"/>
        </a:p>
      </dgm:t>
    </dgm:pt>
    <dgm:pt modelId="{66BBDAB5-2749-48AF-9EC2-3E6C409C267C}" type="sibTrans" cxnId="{DD021BC0-DC2C-4A83-9E65-B4639E54AED5}">
      <dgm:prSet/>
      <dgm:spPr/>
      <dgm:t>
        <a:bodyPr/>
        <a:lstStyle/>
        <a:p>
          <a:endParaRPr lang="en-ZA"/>
        </a:p>
      </dgm:t>
    </dgm:pt>
    <dgm:pt modelId="{76844FE7-7D0D-4EFB-879B-85B05946965C}">
      <dgm:prSet phldrT="[Text]"/>
      <dgm:spPr/>
      <dgm:t>
        <a:bodyPr/>
        <a:lstStyle/>
        <a:p>
          <a:r>
            <a:rPr lang="en-ZA"/>
            <a:t>POPIA</a:t>
          </a:r>
        </a:p>
      </dgm:t>
    </dgm:pt>
    <dgm:pt modelId="{D14C3B86-579B-40BA-BFD5-655B4C614D26}" type="parTrans" cxnId="{1BC989F9-F2C4-4142-8107-8F54D2B1924D}">
      <dgm:prSet/>
      <dgm:spPr/>
      <dgm:t>
        <a:bodyPr/>
        <a:lstStyle/>
        <a:p>
          <a:endParaRPr lang="en-ZA"/>
        </a:p>
      </dgm:t>
    </dgm:pt>
    <dgm:pt modelId="{A93D31DD-160A-4B3B-AA5C-285BFD8CA9C8}" type="sibTrans" cxnId="{1BC989F9-F2C4-4142-8107-8F54D2B1924D}">
      <dgm:prSet/>
      <dgm:spPr/>
      <dgm:t>
        <a:bodyPr/>
        <a:lstStyle/>
        <a:p>
          <a:endParaRPr lang="en-ZA"/>
        </a:p>
      </dgm:t>
    </dgm:pt>
    <dgm:pt modelId="{358174BA-272C-48D9-8FCF-FEEBAAC2F849}">
      <dgm:prSet phldrT="[Text]"/>
      <dgm:spPr/>
      <dgm:t>
        <a:bodyPr/>
        <a:lstStyle/>
        <a:p>
          <a:r>
            <a:rPr lang="en-ZA"/>
            <a:t>GDPR</a:t>
          </a:r>
        </a:p>
      </dgm:t>
    </dgm:pt>
    <dgm:pt modelId="{CBD8F8EF-8C01-470A-853E-B058688F60AC}" type="parTrans" cxnId="{2FC3A2D0-2E7F-4B57-87D7-EE9E580C3CE2}">
      <dgm:prSet/>
      <dgm:spPr/>
      <dgm:t>
        <a:bodyPr/>
        <a:lstStyle/>
        <a:p>
          <a:endParaRPr lang="en-ZA"/>
        </a:p>
      </dgm:t>
    </dgm:pt>
    <dgm:pt modelId="{5BCF595A-AEA2-48A6-A2AA-1EB743C22025}" type="sibTrans" cxnId="{2FC3A2D0-2E7F-4B57-87D7-EE9E580C3CE2}">
      <dgm:prSet/>
      <dgm:spPr/>
      <dgm:t>
        <a:bodyPr/>
        <a:lstStyle/>
        <a:p>
          <a:endParaRPr lang="en-ZA"/>
        </a:p>
      </dgm:t>
    </dgm:pt>
    <dgm:pt modelId="{A3DBD693-F3C3-4B72-8AD3-A79E65311EEF}">
      <dgm:prSet phldrT="[Text]"/>
      <dgm:spPr/>
      <dgm:t>
        <a:bodyPr/>
        <a:lstStyle/>
        <a:p>
          <a:r>
            <a:rPr lang="en-ZA"/>
            <a:t>EU AI Act</a:t>
          </a:r>
        </a:p>
      </dgm:t>
    </dgm:pt>
    <dgm:pt modelId="{2BB8DA1A-293E-42F3-BE15-4EB5BFD9B749}" type="parTrans" cxnId="{7D65C7CD-7E0D-4CFC-A5FF-F3AE0B8E2A72}">
      <dgm:prSet/>
      <dgm:spPr/>
      <dgm:t>
        <a:bodyPr/>
        <a:lstStyle/>
        <a:p>
          <a:endParaRPr lang="en-ZA"/>
        </a:p>
      </dgm:t>
    </dgm:pt>
    <dgm:pt modelId="{62C4D3EA-AE65-4CBE-9B7E-C67DE0874135}" type="sibTrans" cxnId="{7D65C7CD-7E0D-4CFC-A5FF-F3AE0B8E2A72}">
      <dgm:prSet/>
      <dgm:spPr/>
      <dgm:t>
        <a:bodyPr/>
        <a:lstStyle/>
        <a:p>
          <a:endParaRPr lang="en-ZA"/>
        </a:p>
      </dgm:t>
    </dgm:pt>
    <dgm:pt modelId="{BAF2561A-7130-40D7-A235-916424E35E9B}">
      <dgm:prSet phldrT="[Text]"/>
      <dgm:spPr/>
      <dgm:t>
        <a:bodyPr/>
        <a:lstStyle/>
        <a:p>
          <a:r>
            <a:rPr lang="en-ZA"/>
            <a:t>Security</a:t>
          </a:r>
        </a:p>
      </dgm:t>
    </dgm:pt>
    <dgm:pt modelId="{6B237EC3-0853-4D71-B24D-41448FF01207}" type="parTrans" cxnId="{C0614E45-2B19-4E80-91E1-0193CF17F93B}">
      <dgm:prSet/>
      <dgm:spPr/>
      <dgm:t>
        <a:bodyPr/>
        <a:lstStyle/>
        <a:p>
          <a:endParaRPr lang="en-ZA"/>
        </a:p>
      </dgm:t>
    </dgm:pt>
    <dgm:pt modelId="{10E0A574-5903-4D36-A948-D21E605DCEAC}" type="sibTrans" cxnId="{C0614E45-2B19-4E80-91E1-0193CF17F93B}">
      <dgm:prSet/>
      <dgm:spPr/>
      <dgm:t>
        <a:bodyPr/>
        <a:lstStyle/>
        <a:p>
          <a:endParaRPr lang="en-ZA"/>
        </a:p>
      </dgm:t>
    </dgm:pt>
    <dgm:pt modelId="{01A54F1F-8D75-4EB6-82A0-D8D007FB8206}">
      <dgm:prSet phldrT="[Text]"/>
      <dgm:spPr/>
      <dgm:t>
        <a:bodyPr/>
        <a:lstStyle/>
        <a:p>
          <a:r>
            <a:rPr lang="en-ZA"/>
            <a:t>Incident response</a:t>
          </a:r>
        </a:p>
      </dgm:t>
    </dgm:pt>
    <dgm:pt modelId="{716A2A47-9757-434E-A3A3-7FF9D3A2424D}" type="parTrans" cxnId="{41513AC1-63E0-430E-8B86-1417DFC449AB}">
      <dgm:prSet/>
      <dgm:spPr/>
      <dgm:t>
        <a:bodyPr/>
        <a:lstStyle/>
        <a:p>
          <a:endParaRPr lang="en-ZA"/>
        </a:p>
      </dgm:t>
    </dgm:pt>
    <dgm:pt modelId="{E95C1200-0952-437E-B277-F88FFE54F593}" type="sibTrans" cxnId="{41513AC1-63E0-430E-8B86-1417DFC449AB}">
      <dgm:prSet/>
      <dgm:spPr/>
      <dgm:t>
        <a:bodyPr/>
        <a:lstStyle/>
        <a:p>
          <a:endParaRPr lang="en-ZA"/>
        </a:p>
      </dgm:t>
    </dgm:pt>
    <dgm:pt modelId="{DE810C21-1CA6-4795-BCF2-C075BE75502E}">
      <dgm:prSet phldrT="[Text]"/>
      <dgm:spPr/>
      <dgm:t>
        <a:bodyPr/>
        <a:lstStyle/>
        <a:p>
          <a:r>
            <a:rPr lang="en-ZA"/>
            <a:t>Transactions</a:t>
          </a:r>
        </a:p>
      </dgm:t>
    </dgm:pt>
    <dgm:pt modelId="{3C512D43-DB0F-4790-98C8-658373CEED1B}" type="parTrans" cxnId="{4939F375-D62F-45AD-975F-7CCC8778A859}">
      <dgm:prSet/>
      <dgm:spPr/>
      <dgm:t>
        <a:bodyPr/>
        <a:lstStyle/>
        <a:p>
          <a:endParaRPr lang="en-ZA"/>
        </a:p>
      </dgm:t>
    </dgm:pt>
    <dgm:pt modelId="{49545BF6-ECD9-4A4E-8ADA-13B35954FCA2}" type="sibTrans" cxnId="{4939F375-D62F-45AD-975F-7CCC8778A859}">
      <dgm:prSet/>
      <dgm:spPr/>
      <dgm:t>
        <a:bodyPr/>
        <a:lstStyle/>
        <a:p>
          <a:endParaRPr lang="en-ZA"/>
        </a:p>
      </dgm:t>
    </dgm:pt>
    <dgm:pt modelId="{6A587F04-72B0-4ECC-B750-84035B371498}">
      <dgm:prSet phldrT="[Text]"/>
      <dgm:spPr/>
      <dgm:t>
        <a:bodyPr/>
        <a:lstStyle/>
        <a:p>
          <a:r>
            <a:rPr lang="en-ZA"/>
            <a:t>Vendor management</a:t>
          </a:r>
        </a:p>
      </dgm:t>
    </dgm:pt>
    <dgm:pt modelId="{EEAA4A08-B278-4FB0-9DB2-5E65778B4C45}" type="parTrans" cxnId="{B2A43668-8D49-4DDF-B073-45F97E58A794}">
      <dgm:prSet/>
      <dgm:spPr/>
      <dgm:t>
        <a:bodyPr/>
        <a:lstStyle/>
        <a:p>
          <a:endParaRPr lang="en-ZA"/>
        </a:p>
      </dgm:t>
    </dgm:pt>
    <dgm:pt modelId="{8779C25A-47C3-4529-9C19-6D8310BA8365}" type="sibTrans" cxnId="{B2A43668-8D49-4DDF-B073-45F97E58A794}">
      <dgm:prSet/>
      <dgm:spPr/>
      <dgm:t>
        <a:bodyPr/>
        <a:lstStyle/>
        <a:p>
          <a:endParaRPr lang="en-ZA"/>
        </a:p>
      </dgm:t>
    </dgm:pt>
    <dgm:pt modelId="{497AFE6F-B23A-4F5E-8ABE-7B2D7761170B}" type="pres">
      <dgm:prSet presAssocID="{A3ED1958-6492-48E4-9292-48F7BD16D20E}" presName="diagram" presStyleCnt="0">
        <dgm:presLayoutVars>
          <dgm:chMax val="1"/>
          <dgm:dir/>
          <dgm:animLvl val="ctr"/>
          <dgm:resizeHandles val="exact"/>
        </dgm:presLayoutVars>
      </dgm:prSet>
      <dgm:spPr/>
    </dgm:pt>
    <dgm:pt modelId="{C8E7AF7A-E90D-430E-A05B-EDD78746E45E}" type="pres">
      <dgm:prSet presAssocID="{A3ED1958-6492-48E4-9292-48F7BD16D20E}" presName="matrix" presStyleCnt="0"/>
      <dgm:spPr/>
    </dgm:pt>
    <dgm:pt modelId="{D82C0988-A662-4004-89F3-2719B7C7FCC5}" type="pres">
      <dgm:prSet presAssocID="{A3ED1958-6492-48E4-9292-48F7BD16D20E}" presName="tile1" presStyleLbl="node1" presStyleIdx="0" presStyleCnt="4"/>
      <dgm:spPr/>
    </dgm:pt>
    <dgm:pt modelId="{6126AFE4-45D5-4486-B5C1-BF1280ACE3F9}" type="pres">
      <dgm:prSet presAssocID="{A3ED1958-6492-48E4-9292-48F7BD16D20E}" presName="tile1text" presStyleLbl="node1" presStyleIdx="0" presStyleCnt="4">
        <dgm:presLayoutVars>
          <dgm:chMax val="0"/>
          <dgm:chPref val="0"/>
          <dgm:bulletEnabled val="1"/>
        </dgm:presLayoutVars>
      </dgm:prSet>
      <dgm:spPr/>
    </dgm:pt>
    <dgm:pt modelId="{8918F999-426A-40C6-A32C-3A31C539F2DE}" type="pres">
      <dgm:prSet presAssocID="{A3ED1958-6492-48E4-9292-48F7BD16D20E}" presName="tile2" presStyleLbl="node1" presStyleIdx="1" presStyleCnt="4"/>
      <dgm:spPr/>
    </dgm:pt>
    <dgm:pt modelId="{4E3FF28A-7511-4BFE-86C1-C6C2FEE6687D}" type="pres">
      <dgm:prSet presAssocID="{A3ED1958-6492-48E4-9292-48F7BD16D20E}" presName="tile2text" presStyleLbl="node1" presStyleIdx="1" presStyleCnt="4">
        <dgm:presLayoutVars>
          <dgm:chMax val="0"/>
          <dgm:chPref val="0"/>
          <dgm:bulletEnabled val="1"/>
        </dgm:presLayoutVars>
      </dgm:prSet>
      <dgm:spPr/>
    </dgm:pt>
    <dgm:pt modelId="{80AA6A52-5ACB-4012-89BD-BEC1B99D4732}" type="pres">
      <dgm:prSet presAssocID="{A3ED1958-6492-48E4-9292-48F7BD16D20E}" presName="tile3" presStyleLbl="node1" presStyleIdx="2" presStyleCnt="4"/>
      <dgm:spPr/>
    </dgm:pt>
    <dgm:pt modelId="{1CDFC931-F11C-4F69-98BC-27333A7EA9E5}" type="pres">
      <dgm:prSet presAssocID="{A3ED1958-6492-48E4-9292-48F7BD16D20E}" presName="tile3text" presStyleLbl="node1" presStyleIdx="2" presStyleCnt="4">
        <dgm:presLayoutVars>
          <dgm:chMax val="0"/>
          <dgm:chPref val="0"/>
          <dgm:bulletEnabled val="1"/>
        </dgm:presLayoutVars>
      </dgm:prSet>
      <dgm:spPr/>
    </dgm:pt>
    <dgm:pt modelId="{6817B5FC-171E-4716-92EF-4086E5D40786}" type="pres">
      <dgm:prSet presAssocID="{A3ED1958-6492-48E4-9292-48F7BD16D20E}" presName="tile4" presStyleLbl="node1" presStyleIdx="3" presStyleCnt="4"/>
      <dgm:spPr/>
    </dgm:pt>
    <dgm:pt modelId="{C935EB92-85C7-4342-B51B-60B9A613F265}" type="pres">
      <dgm:prSet presAssocID="{A3ED1958-6492-48E4-9292-48F7BD16D20E}" presName="tile4text" presStyleLbl="node1" presStyleIdx="3" presStyleCnt="4">
        <dgm:presLayoutVars>
          <dgm:chMax val="0"/>
          <dgm:chPref val="0"/>
          <dgm:bulletEnabled val="1"/>
        </dgm:presLayoutVars>
      </dgm:prSet>
      <dgm:spPr/>
    </dgm:pt>
    <dgm:pt modelId="{CF404F9E-C30B-4C47-8534-DC289EF0288E}" type="pres">
      <dgm:prSet presAssocID="{A3ED1958-6492-48E4-9292-48F7BD16D20E}" presName="centerTile" presStyleLbl="fgShp" presStyleIdx="0" presStyleCnt="1">
        <dgm:presLayoutVars>
          <dgm:chMax val="0"/>
          <dgm:chPref val="0"/>
        </dgm:presLayoutVars>
      </dgm:prSet>
      <dgm:spPr/>
    </dgm:pt>
  </dgm:ptLst>
  <dgm:cxnLst>
    <dgm:cxn modelId="{4928FE03-6C5E-4657-BA5D-3903C7B8EB12}" srcId="{7C592CAC-38F1-4166-801E-CD6E9A94286C}" destId="{EC4DBA40-3FE7-4260-B9DD-7AE8D717757B}" srcOrd="2" destOrd="0" parTransId="{0784033C-73DA-4049-A9C0-6C97A412E4F9}" sibTransId="{8AD8A03E-75ED-48E4-92C7-5D287D64B2C8}"/>
    <dgm:cxn modelId="{88C29305-F5F2-4B2A-BE32-5D8225261BB6}" srcId="{0E5B1B97-5F94-4655-A992-AE227D62FE78}" destId="{4B3E413B-AC6B-4208-9EA7-E34D16938B17}" srcOrd="3" destOrd="0" parTransId="{E0A4C918-376E-461A-975B-896FE2468187}" sibTransId="{1DB8336C-06E3-485A-B9C4-9A0BCF9C8055}"/>
    <dgm:cxn modelId="{AA9AC605-5388-43B5-9896-D4CF082CB178}" type="presOf" srcId="{7C592CAC-38F1-4166-801E-CD6E9A94286C}" destId="{6126AFE4-45D5-4486-B5C1-BF1280ACE3F9}" srcOrd="1" destOrd="0" presId="urn:microsoft.com/office/officeart/2005/8/layout/matrix1"/>
    <dgm:cxn modelId="{E8247A06-8B36-420A-B1DD-973FEB417657}" type="presOf" srcId="{18550545-7CE8-495C-9ADA-94ADB8C86A60}" destId="{D82C0988-A662-4004-89F3-2719B7C7FCC5}" srcOrd="0" destOrd="2" presId="urn:microsoft.com/office/officeart/2005/8/layout/matrix1"/>
    <dgm:cxn modelId="{A2B6A106-2F83-41BD-A54C-CB5E17410295}" srcId="{0E5B1B97-5F94-4655-A992-AE227D62FE78}" destId="{25FF5395-9579-49CF-9E25-CEC9E4BAB7DF}" srcOrd="2" destOrd="0" parTransId="{4B3D15C4-CB99-4FB1-B1D4-00FA980876D0}" sibTransId="{DFEF3CFB-8521-4F1C-BF8D-35D91CD67293}"/>
    <dgm:cxn modelId="{A8E7F60F-B033-415B-BD84-5A00BC299BB3}" type="presOf" srcId="{C4A23CF9-B985-49CE-AFB6-2B286C1DD447}" destId="{4E3FF28A-7511-4BFE-86C1-C6C2FEE6687D}" srcOrd="1" destOrd="0" presId="urn:microsoft.com/office/officeart/2005/8/layout/matrix1"/>
    <dgm:cxn modelId="{8B22DF11-450B-4771-8C03-1905CF1A104C}" type="presOf" srcId="{01A54F1F-8D75-4EB6-82A0-D8D007FB8206}" destId="{6817B5FC-171E-4716-92EF-4086E5D40786}" srcOrd="0" destOrd="2" presId="urn:microsoft.com/office/officeart/2005/8/layout/matrix1"/>
    <dgm:cxn modelId="{73D91D16-D17F-4774-B70B-DCF6D40843A5}" type="presOf" srcId="{76844FE7-7D0D-4EFB-879B-85B05946965C}" destId="{1CDFC931-F11C-4F69-98BC-27333A7EA9E5}" srcOrd="1" destOrd="1" presId="urn:microsoft.com/office/officeart/2005/8/layout/matrix1"/>
    <dgm:cxn modelId="{75946F1E-FD5E-4703-8AF7-9EED0AFBF4DF}" type="presOf" srcId="{A3DBD693-F3C3-4B72-8AD3-A79E65311EEF}" destId="{80AA6A52-5ACB-4012-89BD-BEC1B99D4732}" srcOrd="0" destOrd="3" presId="urn:microsoft.com/office/officeart/2005/8/layout/matrix1"/>
    <dgm:cxn modelId="{D66E5C21-8637-4920-9431-ACB6105EBD1A}" type="presOf" srcId="{25FF5395-9579-49CF-9E25-CEC9E4BAB7DF}" destId="{80AA6A52-5ACB-4012-89BD-BEC1B99D4732}" srcOrd="0" destOrd="0" presId="urn:microsoft.com/office/officeart/2005/8/layout/matrix1"/>
    <dgm:cxn modelId="{05B75E25-0FBF-49E6-91EF-2207A64A457C}" type="presOf" srcId="{C4A23CF9-B985-49CE-AFB6-2B286C1DD447}" destId="{8918F999-426A-40C6-A32C-3A31C539F2DE}" srcOrd="0" destOrd="0" presId="urn:microsoft.com/office/officeart/2005/8/layout/matrix1"/>
    <dgm:cxn modelId="{CF8B592D-ED6C-41E0-B0F8-9B98611CC926}" type="presOf" srcId="{7C592CAC-38F1-4166-801E-CD6E9A94286C}" destId="{D82C0988-A662-4004-89F3-2719B7C7FCC5}" srcOrd="0" destOrd="0" presId="urn:microsoft.com/office/officeart/2005/8/layout/matrix1"/>
    <dgm:cxn modelId="{6D33EF3A-1933-427D-9F19-79394DC6CF0F}" type="presOf" srcId="{25FF5395-9579-49CF-9E25-CEC9E4BAB7DF}" destId="{1CDFC931-F11C-4F69-98BC-27333A7EA9E5}" srcOrd="1" destOrd="0" presId="urn:microsoft.com/office/officeart/2005/8/layout/matrix1"/>
    <dgm:cxn modelId="{88B00E40-1539-41F6-B031-0BCF1BE4B931}" type="presOf" srcId="{651E31FD-5F57-4169-A168-C8DA5298A9D7}" destId="{D82C0988-A662-4004-89F3-2719B7C7FCC5}" srcOrd="0" destOrd="1" presId="urn:microsoft.com/office/officeart/2005/8/layout/matrix1"/>
    <dgm:cxn modelId="{86F10D5B-9D25-4B2D-A452-A0F48EF3282F}" srcId="{0E5B1B97-5F94-4655-A992-AE227D62FE78}" destId="{7C592CAC-38F1-4166-801E-CD6E9A94286C}" srcOrd="0" destOrd="0" parTransId="{0D5868DE-085A-4524-BA08-31CC52E1537A}" sibTransId="{B1DE1A26-6994-448F-9FBE-603D5B207412}"/>
    <dgm:cxn modelId="{C0614E45-2B19-4E80-91E1-0193CF17F93B}" srcId="{4B3E413B-AC6B-4208-9EA7-E34D16938B17}" destId="{BAF2561A-7130-40D7-A235-916424E35E9B}" srcOrd="0" destOrd="0" parTransId="{6B237EC3-0853-4D71-B24D-41448FF01207}" sibTransId="{10E0A574-5903-4D36-A948-D21E605DCEAC}"/>
    <dgm:cxn modelId="{B2A43668-8D49-4DDF-B073-45F97E58A794}" srcId="{4B3E413B-AC6B-4208-9EA7-E34D16938B17}" destId="{6A587F04-72B0-4ECC-B750-84035B371498}" srcOrd="3" destOrd="0" parTransId="{EEAA4A08-B278-4FB0-9DB2-5E65778B4C45}" sibTransId="{8779C25A-47C3-4529-9C19-6D8310BA8365}"/>
    <dgm:cxn modelId="{86C6B470-DC9C-4A53-AB31-F24FD212D610}" srcId="{7C592CAC-38F1-4166-801E-CD6E9A94286C}" destId="{651E31FD-5F57-4169-A168-C8DA5298A9D7}" srcOrd="0" destOrd="0" parTransId="{202A7C5C-23A4-4263-A9F8-93ADF95BE661}" sibTransId="{75F031C6-69F5-4CE1-BC2C-9D84C83F5681}"/>
    <dgm:cxn modelId="{01116151-0418-4C13-820E-EAF97DF0CC23}" type="presOf" srcId="{EC4DBA40-3FE7-4260-B9DD-7AE8D717757B}" destId="{6126AFE4-45D5-4486-B5C1-BF1280ACE3F9}" srcOrd="1" destOrd="3" presId="urn:microsoft.com/office/officeart/2005/8/layout/matrix1"/>
    <dgm:cxn modelId="{6FE2F552-5DBD-42AE-8EF8-A74529189A41}" type="presOf" srcId="{DE810C21-1CA6-4795-BCF2-C075BE75502E}" destId="{C935EB92-85C7-4342-B51B-60B9A613F265}" srcOrd="1" destOrd="3" presId="urn:microsoft.com/office/officeart/2005/8/layout/matrix1"/>
    <dgm:cxn modelId="{4939F375-D62F-45AD-975F-7CCC8778A859}" srcId="{4B3E413B-AC6B-4208-9EA7-E34D16938B17}" destId="{DE810C21-1CA6-4795-BCF2-C075BE75502E}" srcOrd="2" destOrd="0" parTransId="{3C512D43-DB0F-4790-98C8-658373CEED1B}" sibTransId="{49545BF6-ECD9-4A4E-8ADA-13B35954FCA2}"/>
    <dgm:cxn modelId="{6BF8D356-F76B-461A-891A-2341EEC1F505}" type="presOf" srcId="{346323D8-4E6F-4819-89CD-B0A5F7BE5EAF}" destId="{8918F999-426A-40C6-A32C-3A31C539F2DE}" srcOrd="0" destOrd="1" presId="urn:microsoft.com/office/officeart/2005/8/layout/matrix1"/>
    <dgm:cxn modelId="{112B637D-790B-455C-9B57-DF01A48FE9AE}" type="presOf" srcId="{0E5B1B97-5F94-4655-A992-AE227D62FE78}" destId="{CF404F9E-C30B-4C47-8534-DC289EF0288E}" srcOrd="0" destOrd="0" presId="urn:microsoft.com/office/officeart/2005/8/layout/matrix1"/>
    <dgm:cxn modelId="{D1401A86-9672-4582-8A1C-F99345C446C1}" type="presOf" srcId="{358174BA-272C-48D9-8FCF-FEEBAAC2F849}" destId="{1CDFC931-F11C-4F69-98BC-27333A7EA9E5}" srcOrd="1" destOrd="2" presId="urn:microsoft.com/office/officeart/2005/8/layout/matrix1"/>
    <dgm:cxn modelId="{D3715A87-1A90-4348-9C1F-88C940BC90B4}" type="presOf" srcId="{01A54F1F-8D75-4EB6-82A0-D8D007FB8206}" destId="{C935EB92-85C7-4342-B51B-60B9A613F265}" srcOrd="1" destOrd="2" presId="urn:microsoft.com/office/officeart/2005/8/layout/matrix1"/>
    <dgm:cxn modelId="{361CDB8A-4EB3-4EED-9648-AEEBC1B35B56}" type="presOf" srcId="{6A587F04-72B0-4ECC-B750-84035B371498}" destId="{6817B5FC-171E-4716-92EF-4086E5D40786}" srcOrd="0" destOrd="4" presId="urn:microsoft.com/office/officeart/2005/8/layout/matrix1"/>
    <dgm:cxn modelId="{889CE08D-BE53-4CC5-A099-98520137D714}" type="presOf" srcId="{18550545-7CE8-495C-9ADA-94ADB8C86A60}" destId="{6126AFE4-45D5-4486-B5C1-BF1280ACE3F9}" srcOrd="1" destOrd="2" presId="urn:microsoft.com/office/officeart/2005/8/layout/matrix1"/>
    <dgm:cxn modelId="{003DC89A-59C3-4F0D-9E9A-3F85E41D98CC}" srcId="{7C592CAC-38F1-4166-801E-CD6E9A94286C}" destId="{18550545-7CE8-495C-9ADA-94ADB8C86A60}" srcOrd="1" destOrd="0" parTransId="{30556657-D1FA-49D7-BF97-33B590309D95}" sibTransId="{09149269-44E4-4D2D-9F16-AA7EF8E1FB78}"/>
    <dgm:cxn modelId="{662621A0-6A03-47B3-BB9C-F6D734739A8F}" type="presOf" srcId="{DE810C21-1CA6-4795-BCF2-C075BE75502E}" destId="{6817B5FC-171E-4716-92EF-4086E5D40786}" srcOrd="0" destOrd="3" presId="urn:microsoft.com/office/officeart/2005/8/layout/matrix1"/>
    <dgm:cxn modelId="{B7DC02AB-B019-4CBF-A0E2-44BE8B558F67}" type="presOf" srcId="{BAF2561A-7130-40D7-A235-916424E35E9B}" destId="{6817B5FC-171E-4716-92EF-4086E5D40786}" srcOrd="0" destOrd="1" presId="urn:microsoft.com/office/officeart/2005/8/layout/matrix1"/>
    <dgm:cxn modelId="{C57EDDB1-C87F-47AC-A83E-3B57B0B20EA7}" type="presOf" srcId="{A3DBD693-F3C3-4B72-8AD3-A79E65311EEF}" destId="{1CDFC931-F11C-4F69-98BC-27333A7EA9E5}" srcOrd="1" destOrd="3" presId="urn:microsoft.com/office/officeart/2005/8/layout/matrix1"/>
    <dgm:cxn modelId="{630E31B7-416F-43D0-B012-1AB0BA8FA0BA}" type="presOf" srcId="{A3ED1958-6492-48E4-9292-48F7BD16D20E}" destId="{497AFE6F-B23A-4F5E-8ABE-7B2D7761170B}" srcOrd="0" destOrd="0" presId="urn:microsoft.com/office/officeart/2005/8/layout/matrix1"/>
    <dgm:cxn modelId="{B65737BE-512A-430D-AE47-E42ABA8F8886}" srcId="{0E5B1B97-5F94-4655-A992-AE227D62FE78}" destId="{C4A23CF9-B985-49CE-AFB6-2B286C1DD447}" srcOrd="1" destOrd="0" parTransId="{B55D54AC-3F40-4E74-8CD1-46CDD6458542}" sibTransId="{A5083B15-B74D-4F7E-93B9-5BBF351D7EEB}"/>
    <dgm:cxn modelId="{DD021BC0-DC2C-4A83-9E65-B4639E54AED5}" srcId="{C4A23CF9-B985-49CE-AFB6-2B286C1DD447}" destId="{346323D8-4E6F-4819-89CD-B0A5F7BE5EAF}" srcOrd="0" destOrd="0" parTransId="{EB136A2E-D2E4-4F5A-8E3D-A7DC4E855CEE}" sibTransId="{66BBDAB5-2749-48AF-9EC2-3E6C409C267C}"/>
    <dgm:cxn modelId="{41513AC1-63E0-430E-8B86-1417DFC449AB}" srcId="{4B3E413B-AC6B-4208-9EA7-E34D16938B17}" destId="{01A54F1F-8D75-4EB6-82A0-D8D007FB8206}" srcOrd="1" destOrd="0" parTransId="{716A2A47-9757-434E-A3A3-7FF9D3A2424D}" sibTransId="{E95C1200-0952-437E-B277-F88FFE54F593}"/>
    <dgm:cxn modelId="{87EF2BC4-B1E0-4769-B860-A56670A9CEAE}" type="presOf" srcId="{651E31FD-5F57-4169-A168-C8DA5298A9D7}" destId="{6126AFE4-45D5-4486-B5C1-BF1280ACE3F9}" srcOrd="1" destOrd="1" presId="urn:microsoft.com/office/officeart/2005/8/layout/matrix1"/>
    <dgm:cxn modelId="{FE8407C9-0100-4428-BEEE-32A92160E4A0}" type="presOf" srcId="{4B3E413B-AC6B-4208-9EA7-E34D16938B17}" destId="{6817B5FC-171E-4716-92EF-4086E5D40786}" srcOrd="0" destOrd="0" presId="urn:microsoft.com/office/officeart/2005/8/layout/matrix1"/>
    <dgm:cxn modelId="{65FBECC9-E0C0-423D-B199-4905F16D33D7}" type="presOf" srcId="{EC4DBA40-3FE7-4260-B9DD-7AE8D717757B}" destId="{D82C0988-A662-4004-89F3-2719B7C7FCC5}" srcOrd="0" destOrd="3" presId="urn:microsoft.com/office/officeart/2005/8/layout/matrix1"/>
    <dgm:cxn modelId="{7D65C7CD-7E0D-4CFC-A5FF-F3AE0B8E2A72}" srcId="{25FF5395-9579-49CF-9E25-CEC9E4BAB7DF}" destId="{A3DBD693-F3C3-4B72-8AD3-A79E65311EEF}" srcOrd="2" destOrd="0" parTransId="{2BB8DA1A-293E-42F3-BE15-4EB5BFD9B749}" sibTransId="{62C4D3EA-AE65-4CBE-9B7E-C67DE0874135}"/>
    <dgm:cxn modelId="{60BC06CE-3821-4A5D-A4DD-6FD48CEED2EF}" srcId="{A3ED1958-6492-48E4-9292-48F7BD16D20E}" destId="{0E5B1B97-5F94-4655-A992-AE227D62FE78}" srcOrd="0" destOrd="0" parTransId="{0B56F5BC-FBE0-46F8-95EB-FFA8A4BFA0CF}" sibTransId="{31740A7C-F4B1-4F4C-A7B3-8E634BC476C3}"/>
    <dgm:cxn modelId="{2FC3A2D0-2E7F-4B57-87D7-EE9E580C3CE2}" srcId="{25FF5395-9579-49CF-9E25-CEC9E4BAB7DF}" destId="{358174BA-272C-48D9-8FCF-FEEBAAC2F849}" srcOrd="1" destOrd="0" parTransId="{CBD8F8EF-8C01-470A-853E-B058688F60AC}" sibTransId="{5BCF595A-AEA2-48A6-A2AA-1EB743C22025}"/>
    <dgm:cxn modelId="{2C7AA7D2-502B-4333-BEEC-221B841A5604}" type="presOf" srcId="{4B3E413B-AC6B-4208-9EA7-E34D16938B17}" destId="{C935EB92-85C7-4342-B51B-60B9A613F265}" srcOrd="1" destOrd="0" presId="urn:microsoft.com/office/officeart/2005/8/layout/matrix1"/>
    <dgm:cxn modelId="{D0571CD8-83BD-49D2-BA4C-C74C1E5A9A4E}" type="presOf" srcId="{BAF2561A-7130-40D7-A235-916424E35E9B}" destId="{C935EB92-85C7-4342-B51B-60B9A613F265}" srcOrd="1" destOrd="1" presId="urn:microsoft.com/office/officeart/2005/8/layout/matrix1"/>
    <dgm:cxn modelId="{1F0CC5E4-941B-4228-B083-35C2711887B4}" type="presOf" srcId="{76844FE7-7D0D-4EFB-879B-85B05946965C}" destId="{80AA6A52-5ACB-4012-89BD-BEC1B99D4732}" srcOrd="0" destOrd="1" presId="urn:microsoft.com/office/officeart/2005/8/layout/matrix1"/>
    <dgm:cxn modelId="{EEC96EE5-A7BF-44EB-BD76-A25ADD05DBF6}" type="presOf" srcId="{6A587F04-72B0-4ECC-B750-84035B371498}" destId="{C935EB92-85C7-4342-B51B-60B9A613F265}" srcOrd="1" destOrd="4" presId="urn:microsoft.com/office/officeart/2005/8/layout/matrix1"/>
    <dgm:cxn modelId="{1BC989F9-F2C4-4142-8107-8F54D2B1924D}" srcId="{25FF5395-9579-49CF-9E25-CEC9E4BAB7DF}" destId="{76844FE7-7D0D-4EFB-879B-85B05946965C}" srcOrd="0" destOrd="0" parTransId="{D14C3B86-579B-40BA-BFD5-655B4C614D26}" sibTransId="{A93D31DD-160A-4B3B-AA5C-285BFD8CA9C8}"/>
    <dgm:cxn modelId="{9128BEF9-A071-43DF-B5DE-84DA8207DCC5}" type="presOf" srcId="{358174BA-272C-48D9-8FCF-FEEBAAC2F849}" destId="{80AA6A52-5ACB-4012-89BD-BEC1B99D4732}" srcOrd="0" destOrd="2" presId="urn:microsoft.com/office/officeart/2005/8/layout/matrix1"/>
    <dgm:cxn modelId="{9A4BE8FD-D850-43D2-8D6A-9FEDB009325F}" type="presOf" srcId="{346323D8-4E6F-4819-89CD-B0A5F7BE5EAF}" destId="{4E3FF28A-7511-4BFE-86C1-C6C2FEE6687D}" srcOrd="1" destOrd="1" presId="urn:microsoft.com/office/officeart/2005/8/layout/matrix1"/>
    <dgm:cxn modelId="{6316628E-E256-4B7D-B2CF-FC34407F588C}" type="presParOf" srcId="{497AFE6F-B23A-4F5E-8ABE-7B2D7761170B}" destId="{C8E7AF7A-E90D-430E-A05B-EDD78746E45E}" srcOrd="0" destOrd="0" presId="urn:microsoft.com/office/officeart/2005/8/layout/matrix1"/>
    <dgm:cxn modelId="{04FCEE3B-ABBE-4424-89F3-3EC4603D8CA2}" type="presParOf" srcId="{C8E7AF7A-E90D-430E-A05B-EDD78746E45E}" destId="{D82C0988-A662-4004-89F3-2719B7C7FCC5}" srcOrd="0" destOrd="0" presId="urn:microsoft.com/office/officeart/2005/8/layout/matrix1"/>
    <dgm:cxn modelId="{889C6BDB-4878-4F32-95BB-FF41846C9CDD}" type="presParOf" srcId="{C8E7AF7A-E90D-430E-A05B-EDD78746E45E}" destId="{6126AFE4-45D5-4486-B5C1-BF1280ACE3F9}" srcOrd="1" destOrd="0" presId="urn:microsoft.com/office/officeart/2005/8/layout/matrix1"/>
    <dgm:cxn modelId="{640DEDBE-F608-4EB7-9CD8-ABECC641FC82}" type="presParOf" srcId="{C8E7AF7A-E90D-430E-A05B-EDD78746E45E}" destId="{8918F999-426A-40C6-A32C-3A31C539F2DE}" srcOrd="2" destOrd="0" presId="urn:microsoft.com/office/officeart/2005/8/layout/matrix1"/>
    <dgm:cxn modelId="{908AAA81-6D08-4E4D-B23C-F2A04D9AA7CD}" type="presParOf" srcId="{C8E7AF7A-E90D-430E-A05B-EDD78746E45E}" destId="{4E3FF28A-7511-4BFE-86C1-C6C2FEE6687D}" srcOrd="3" destOrd="0" presId="urn:microsoft.com/office/officeart/2005/8/layout/matrix1"/>
    <dgm:cxn modelId="{9CD38DF9-5AA1-4E4A-80E6-A6F022ADA96A}" type="presParOf" srcId="{C8E7AF7A-E90D-430E-A05B-EDD78746E45E}" destId="{80AA6A52-5ACB-4012-89BD-BEC1B99D4732}" srcOrd="4" destOrd="0" presId="urn:microsoft.com/office/officeart/2005/8/layout/matrix1"/>
    <dgm:cxn modelId="{33946489-FF84-43F1-956D-63D771B4DF23}" type="presParOf" srcId="{C8E7AF7A-E90D-430E-A05B-EDD78746E45E}" destId="{1CDFC931-F11C-4F69-98BC-27333A7EA9E5}" srcOrd="5" destOrd="0" presId="urn:microsoft.com/office/officeart/2005/8/layout/matrix1"/>
    <dgm:cxn modelId="{2B6E89AA-CAE3-4D3B-AA54-3F719339FF31}" type="presParOf" srcId="{C8E7AF7A-E90D-430E-A05B-EDD78746E45E}" destId="{6817B5FC-171E-4716-92EF-4086E5D40786}" srcOrd="6" destOrd="0" presId="urn:microsoft.com/office/officeart/2005/8/layout/matrix1"/>
    <dgm:cxn modelId="{D65BE265-4643-4CC3-BB22-039CA1FA42DD}" type="presParOf" srcId="{C8E7AF7A-E90D-430E-A05B-EDD78746E45E}" destId="{C935EB92-85C7-4342-B51B-60B9A613F265}" srcOrd="7" destOrd="0" presId="urn:microsoft.com/office/officeart/2005/8/layout/matrix1"/>
    <dgm:cxn modelId="{72BC9C5C-BF4F-4747-B26B-0B5B959FB6F1}" type="presParOf" srcId="{497AFE6F-B23A-4F5E-8ABE-7B2D7761170B}" destId="{CF404F9E-C30B-4C47-8534-DC289EF0288E}" srcOrd="1" destOrd="0" presId="urn:microsoft.com/office/officeart/2005/8/layout/matrix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2C0988-A662-4004-89F3-2719B7C7FCC5}">
      <dsp:nvSpPr>
        <dsp:cNvPr id="0" name=""/>
        <dsp:cNvSpPr/>
      </dsp:nvSpPr>
      <dsp:spPr>
        <a:xfrm rot="16200000">
          <a:off x="571500" y="-571500"/>
          <a:ext cx="1600200" cy="2743200"/>
        </a:xfrm>
        <a:prstGeom prst="round1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l" defTabSz="622300">
            <a:lnSpc>
              <a:spcPct val="90000"/>
            </a:lnSpc>
            <a:spcBef>
              <a:spcPct val="0"/>
            </a:spcBef>
            <a:spcAft>
              <a:spcPct val="35000"/>
            </a:spcAft>
            <a:buNone/>
          </a:pPr>
          <a:r>
            <a:rPr lang="en-ZA" sz="1400" kern="1200"/>
            <a:t>GOVERNANCE AND OVERSIGHT</a:t>
          </a:r>
        </a:p>
        <a:p>
          <a:pPr marL="57150" lvl="1" indent="-57150" algn="l" defTabSz="488950">
            <a:lnSpc>
              <a:spcPct val="90000"/>
            </a:lnSpc>
            <a:spcBef>
              <a:spcPct val="0"/>
            </a:spcBef>
            <a:spcAft>
              <a:spcPct val="15000"/>
            </a:spcAft>
            <a:buChar char="•"/>
          </a:pPr>
          <a:r>
            <a:rPr lang="en-ZA" sz="1100" kern="1200"/>
            <a:t>Ethics</a:t>
          </a:r>
        </a:p>
        <a:p>
          <a:pPr marL="57150" lvl="1" indent="-57150" algn="l" defTabSz="488950">
            <a:lnSpc>
              <a:spcPct val="90000"/>
            </a:lnSpc>
            <a:spcBef>
              <a:spcPct val="0"/>
            </a:spcBef>
            <a:spcAft>
              <a:spcPct val="15000"/>
            </a:spcAft>
            <a:buChar char="•"/>
          </a:pPr>
          <a:r>
            <a:rPr lang="en-ZA" sz="1100" kern="1200"/>
            <a:t>Bias mitigation</a:t>
          </a:r>
        </a:p>
        <a:p>
          <a:pPr marL="57150" lvl="1" indent="-57150" algn="l" defTabSz="488950">
            <a:lnSpc>
              <a:spcPct val="90000"/>
            </a:lnSpc>
            <a:spcBef>
              <a:spcPct val="0"/>
            </a:spcBef>
            <a:spcAft>
              <a:spcPct val="15000"/>
            </a:spcAft>
            <a:buChar char="•"/>
          </a:pPr>
          <a:r>
            <a:rPr lang="en-ZA" sz="1100" kern="1200"/>
            <a:t>Human-in-the-loop processes</a:t>
          </a:r>
        </a:p>
      </dsp:txBody>
      <dsp:txXfrm rot="5400000">
        <a:off x="-1" y="1"/>
        <a:ext cx="2743200" cy="1200150"/>
      </dsp:txXfrm>
    </dsp:sp>
    <dsp:sp modelId="{8918F999-426A-40C6-A32C-3A31C539F2DE}">
      <dsp:nvSpPr>
        <dsp:cNvPr id="0" name=""/>
        <dsp:cNvSpPr/>
      </dsp:nvSpPr>
      <dsp:spPr>
        <a:xfrm>
          <a:off x="2743200" y="0"/>
          <a:ext cx="2743200" cy="1600200"/>
        </a:xfrm>
        <a:prstGeom prst="round1Rect">
          <a:avLst/>
        </a:prstGeom>
        <a:solidFill>
          <a:schemeClr val="accent4">
            <a:hueOff val="5468149"/>
            <a:satOff val="-23583"/>
            <a:lumOff val="-339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l" defTabSz="622300">
            <a:lnSpc>
              <a:spcPct val="90000"/>
            </a:lnSpc>
            <a:spcBef>
              <a:spcPct val="0"/>
            </a:spcBef>
            <a:spcAft>
              <a:spcPct val="35000"/>
            </a:spcAft>
            <a:buNone/>
          </a:pPr>
          <a:r>
            <a:rPr lang="en-ZA" sz="1400" kern="1200"/>
            <a:t>LIFECYCLE ASSURANCE</a:t>
          </a:r>
        </a:p>
        <a:p>
          <a:pPr marL="57150" lvl="1" indent="-57150" algn="l" defTabSz="488950">
            <a:lnSpc>
              <a:spcPct val="90000"/>
            </a:lnSpc>
            <a:spcBef>
              <a:spcPct val="0"/>
            </a:spcBef>
            <a:spcAft>
              <a:spcPct val="15000"/>
            </a:spcAft>
            <a:buChar char="•"/>
          </a:pPr>
          <a:r>
            <a:rPr lang="en-ZA" sz="1100" kern="1200"/>
            <a:t>From ideation to decommissioning</a:t>
          </a:r>
        </a:p>
      </dsp:txBody>
      <dsp:txXfrm>
        <a:off x="2743200" y="0"/>
        <a:ext cx="2743200" cy="1200150"/>
      </dsp:txXfrm>
    </dsp:sp>
    <dsp:sp modelId="{80AA6A52-5ACB-4012-89BD-BEC1B99D4732}">
      <dsp:nvSpPr>
        <dsp:cNvPr id="0" name=""/>
        <dsp:cNvSpPr/>
      </dsp:nvSpPr>
      <dsp:spPr>
        <a:xfrm rot="10800000">
          <a:off x="0" y="1600200"/>
          <a:ext cx="2743200" cy="1600200"/>
        </a:xfrm>
        <a:prstGeom prst="round1Rect">
          <a:avLst/>
        </a:prstGeom>
        <a:solidFill>
          <a:schemeClr val="accent4">
            <a:hueOff val="10936298"/>
            <a:satOff val="-47165"/>
            <a:lumOff val="-679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l" defTabSz="622300">
            <a:lnSpc>
              <a:spcPct val="90000"/>
            </a:lnSpc>
            <a:spcBef>
              <a:spcPct val="0"/>
            </a:spcBef>
            <a:spcAft>
              <a:spcPct val="35000"/>
            </a:spcAft>
            <a:buNone/>
          </a:pPr>
          <a:r>
            <a:rPr lang="en-ZA" sz="1400" kern="1200"/>
            <a:t>REGULATORY COMPLIANCE</a:t>
          </a:r>
        </a:p>
        <a:p>
          <a:pPr marL="57150" lvl="1" indent="-57150" algn="l" defTabSz="488950">
            <a:lnSpc>
              <a:spcPct val="90000"/>
            </a:lnSpc>
            <a:spcBef>
              <a:spcPct val="0"/>
            </a:spcBef>
            <a:spcAft>
              <a:spcPct val="15000"/>
            </a:spcAft>
            <a:buChar char="•"/>
          </a:pPr>
          <a:r>
            <a:rPr lang="en-ZA" sz="1100" kern="1200"/>
            <a:t>POPIA</a:t>
          </a:r>
        </a:p>
        <a:p>
          <a:pPr marL="57150" lvl="1" indent="-57150" algn="l" defTabSz="488950">
            <a:lnSpc>
              <a:spcPct val="90000"/>
            </a:lnSpc>
            <a:spcBef>
              <a:spcPct val="0"/>
            </a:spcBef>
            <a:spcAft>
              <a:spcPct val="15000"/>
            </a:spcAft>
            <a:buChar char="•"/>
          </a:pPr>
          <a:r>
            <a:rPr lang="en-ZA" sz="1100" kern="1200"/>
            <a:t>GDPR</a:t>
          </a:r>
        </a:p>
        <a:p>
          <a:pPr marL="57150" lvl="1" indent="-57150" algn="l" defTabSz="488950">
            <a:lnSpc>
              <a:spcPct val="90000"/>
            </a:lnSpc>
            <a:spcBef>
              <a:spcPct val="0"/>
            </a:spcBef>
            <a:spcAft>
              <a:spcPct val="15000"/>
            </a:spcAft>
            <a:buChar char="•"/>
          </a:pPr>
          <a:r>
            <a:rPr lang="en-ZA" sz="1100" kern="1200"/>
            <a:t>EU AI Act</a:t>
          </a:r>
        </a:p>
      </dsp:txBody>
      <dsp:txXfrm rot="10800000">
        <a:off x="0" y="2000250"/>
        <a:ext cx="2743200" cy="1200150"/>
      </dsp:txXfrm>
    </dsp:sp>
    <dsp:sp modelId="{6817B5FC-171E-4716-92EF-4086E5D40786}">
      <dsp:nvSpPr>
        <dsp:cNvPr id="0" name=""/>
        <dsp:cNvSpPr/>
      </dsp:nvSpPr>
      <dsp:spPr>
        <a:xfrm rot="5400000">
          <a:off x="3314700" y="1028700"/>
          <a:ext cx="1600200" cy="2743200"/>
        </a:xfrm>
        <a:prstGeom prst="round1Rect">
          <a:avLst/>
        </a:prstGeom>
        <a:solidFill>
          <a:schemeClr val="accent4">
            <a:hueOff val="16404446"/>
            <a:satOff val="-70748"/>
            <a:lumOff val="-1019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l" defTabSz="622300">
            <a:lnSpc>
              <a:spcPct val="90000"/>
            </a:lnSpc>
            <a:spcBef>
              <a:spcPct val="0"/>
            </a:spcBef>
            <a:spcAft>
              <a:spcPct val="35000"/>
            </a:spcAft>
            <a:buNone/>
          </a:pPr>
          <a:r>
            <a:rPr lang="en-ZA" sz="1400" kern="1200"/>
            <a:t>CONTROL ASSURANCE</a:t>
          </a:r>
        </a:p>
        <a:p>
          <a:pPr marL="57150" lvl="1" indent="-57150" algn="l" defTabSz="488950">
            <a:lnSpc>
              <a:spcPct val="90000"/>
            </a:lnSpc>
            <a:spcBef>
              <a:spcPct val="0"/>
            </a:spcBef>
            <a:spcAft>
              <a:spcPct val="15000"/>
            </a:spcAft>
            <a:buChar char="•"/>
          </a:pPr>
          <a:r>
            <a:rPr lang="en-ZA" sz="1100" kern="1200"/>
            <a:t>Security</a:t>
          </a:r>
        </a:p>
        <a:p>
          <a:pPr marL="57150" lvl="1" indent="-57150" algn="l" defTabSz="488950">
            <a:lnSpc>
              <a:spcPct val="90000"/>
            </a:lnSpc>
            <a:spcBef>
              <a:spcPct val="0"/>
            </a:spcBef>
            <a:spcAft>
              <a:spcPct val="15000"/>
            </a:spcAft>
            <a:buChar char="•"/>
          </a:pPr>
          <a:r>
            <a:rPr lang="en-ZA" sz="1100" kern="1200"/>
            <a:t>Incident response</a:t>
          </a:r>
        </a:p>
        <a:p>
          <a:pPr marL="57150" lvl="1" indent="-57150" algn="l" defTabSz="488950">
            <a:lnSpc>
              <a:spcPct val="90000"/>
            </a:lnSpc>
            <a:spcBef>
              <a:spcPct val="0"/>
            </a:spcBef>
            <a:spcAft>
              <a:spcPct val="15000"/>
            </a:spcAft>
            <a:buChar char="•"/>
          </a:pPr>
          <a:r>
            <a:rPr lang="en-ZA" sz="1100" kern="1200"/>
            <a:t>Transactions</a:t>
          </a:r>
        </a:p>
        <a:p>
          <a:pPr marL="57150" lvl="1" indent="-57150" algn="l" defTabSz="488950">
            <a:lnSpc>
              <a:spcPct val="90000"/>
            </a:lnSpc>
            <a:spcBef>
              <a:spcPct val="0"/>
            </a:spcBef>
            <a:spcAft>
              <a:spcPct val="15000"/>
            </a:spcAft>
            <a:buChar char="•"/>
          </a:pPr>
          <a:r>
            <a:rPr lang="en-ZA" sz="1100" kern="1200"/>
            <a:t>Vendor management</a:t>
          </a:r>
        </a:p>
      </dsp:txBody>
      <dsp:txXfrm rot="-5400000">
        <a:off x="2743200" y="2000250"/>
        <a:ext cx="2743200" cy="1200150"/>
      </dsp:txXfrm>
    </dsp:sp>
    <dsp:sp modelId="{CF404F9E-C30B-4C47-8534-DC289EF0288E}">
      <dsp:nvSpPr>
        <dsp:cNvPr id="0" name=""/>
        <dsp:cNvSpPr/>
      </dsp:nvSpPr>
      <dsp:spPr>
        <a:xfrm>
          <a:off x="1920240" y="1200150"/>
          <a:ext cx="1645920" cy="800100"/>
        </a:xfrm>
        <a:prstGeom prst="round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ZA" sz="1400" b="1" kern="1200"/>
            <a:t>Risk-based IA framework for AI models</a:t>
          </a:r>
        </a:p>
      </dsp:txBody>
      <dsp:txXfrm>
        <a:off x="1959298" y="1239208"/>
        <a:ext cx="1567804" cy="721984"/>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ndile 2023">
      <a:dk1>
        <a:srgbClr val="5E6167"/>
      </a:dk1>
      <a:lt1>
        <a:srgbClr val="FFFFFF"/>
      </a:lt1>
      <a:dk2>
        <a:srgbClr val="5F574F"/>
      </a:dk2>
      <a:lt2>
        <a:srgbClr val="FFFFFF"/>
      </a:lt2>
      <a:accent1>
        <a:srgbClr val="C9DD03"/>
      </a:accent1>
      <a:accent2>
        <a:srgbClr val="8E9300"/>
      </a:accent2>
      <a:accent3>
        <a:srgbClr val="AEA300"/>
      </a:accent3>
      <a:accent4>
        <a:srgbClr val="C79900"/>
      </a:accent4>
      <a:accent5>
        <a:srgbClr val="5F3451"/>
      </a:accent5>
      <a:accent6>
        <a:srgbClr val="0075C9"/>
      </a:accent6>
      <a:hlink>
        <a:srgbClr val="FDC82F"/>
      </a:hlink>
      <a:folHlink>
        <a:srgbClr val="AEB3A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73A9E64FA0C64FBD6F893C6DB19B59" ma:contentTypeVersion="5" ma:contentTypeDescription="Create a new document." ma:contentTypeScope="" ma:versionID="3e691297dfc2388b4ef7dd9f688c95e1">
  <xsd:schema xmlns:xsd="http://www.w3.org/2001/XMLSchema" xmlns:xs="http://www.w3.org/2001/XMLSchema" xmlns:p="http://schemas.microsoft.com/office/2006/metadata/properties" xmlns:ns2="3c751df0-927c-4247-976c-4032ce17dfa2" xmlns:ns3="0ecc1e8e-19d8-4b72-a1a5-9463f60fa786" targetNamespace="http://schemas.microsoft.com/office/2006/metadata/properties" ma:root="true" ma:fieldsID="eca35a43153b4ada94fb3f43477549b0" ns2:_="" ns3:_="">
    <xsd:import namespace="3c751df0-927c-4247-976c-4032ce17dfa2"/>
    <xsd:import namespace="0ecc1e8e-19d8-4b72-a1a5-9463f60fa7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51df0-927c-4247-976c-4032ce17d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cc1e8e-19d8-4b72-a1a5-9463f60fa7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Wha</b:Tag>
    <b:SourceType>DocumentFromInternetSite</b:SourceType>
    <b:Guid>{078C0D36-B5B8-44B6-ABC6-AF79F5EA8813}</b:Guid>
    <b:Title>What is the life cycle of a data science project? – Celigent</b:Title>
    <b:URL>https://celigent.com/what-is-the-life-cycle-of-a-data-science-project/</b:URL>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04254E-E6BD-472E-8176-325F21489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51df0-927c-4247-976c-4032ce17dfa2"/>
    <ds:schemaRef ds:uri="0ecc1e8e-19d8-4b72-a1a5-9463f60fa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B766EA-8600-409D-8A4D-DA7C7A0520D8}">
  <ds:schemaRefs>
    <ds:schemaRef ds:uri="http://schemas.openxmlformats.org/officeDocument/2006/bibliography"/>
  </ds:schemaRefs>
</ds:datastoreItem>
</file>

<file path=customXml/itemProps3.xml><?xml version="1.0" encoding="utf-8"?>
<ds:datastoreItem xmlns:ds="http://schemas.openxmlformats.org/officeDocument/2006/customXml" ds:itemID="{1BB16C22-ABE8-46AC-8B51-0EC2CCE53415}">
  <ds:schemaRefs>
    <ds:schemaRef ds:uri="http://schemas.microsoft.com/sharepoint/v3/contenttype/forms"/>
  </ds:schemaRefs>
</ds:datastoreItem>
</file>

<file path=customXml/itemProps4.xml><?xml version="1.0" encoding="utf-8"?>
<ds:datastoreItem xmlns:ds="http://schemas.openxmlformats.org/officeDocument/2006/customXml" ds:itemID="{7A8ABC5B-DEB5-4D06-9940-C716097F0B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4953</Words>
  <Characters>28236</Characters>
  <Application>Microsoft Office Word</Application>
  <DocSecurity>4</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Van Der Nest</dc:creator>
  <cp:keywords/>
  <dc:description/>
  <cp:lastModifiedBy>Liesl Brown</cp:lastModifiedBy>
  <cp:revision>2</cp:revision>
  <cp:lastPrinted>2025-01-22T19:14:00Z</cp:lastPrinted>
  <dcterms:created xsi:type="dcterms:W3CDTF">2026-04-14T09:41:00Z</dcterms:created>
  <dcterms:modified xsi:type="dcterms:W3CDTF">2026-04-14T09:41:00Z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documentId_586</vt:lpwstr>
  </property>
  <property fmtid="{D5CDD505-2E9C-101B-9397-08002B2CF9AE}" pid="3" name="ContentTypeId">
    <vt:lpwstr>0x0101009773A9E64FA0C64FBD6F893C6DB19B59</vt:lpwstr>
  </property>
  <property fmtid="{D5CDD505-2E9C-101B-9397-08002B2CF9AE}" pid="4" name="GrammarlyDocumentId">
    <vt:lpwstr>0ac181f5-a053-467b-9f22-31910e141c6e</vt:lpwstr>
  </property>
</Properties>
</file>